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right="139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zh-TW" w:eastAsia="zh-TW"/>
        </w:rPr>
        <w:t>个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zh-TW" w:eastAsia="zh-TW"/>
        </w:rPr>
        <w:t>人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zh-TW" w:eastAsia="zh-TW"/>
        </w:rPr>
        <w:t>简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zh-TW" w:eastAsia="zh-TW"/>
        </w:rPr>
        <w:t>历</w:t>
      </w:r>
    </w:p>
    <w:p>
      <w:pPr>
        <w:pStyle w:val="Normal.0"/>
        <w:ind w:right="139"/>
        <w:jc w:val="center"/>
      </w:pPr>
    </w:p>
    <w:tbl>
      <w:tblPr>
        <w:tblW w:w="974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2542"/>
        <w:gridCol w:w="1620"/>
        <w:gridCol w:w="2500"/>
        <w:gridCol w:w="1559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姓名</w:t>
            </w:r>
          </w:p>
        </w:tc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郭盈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ind w:left="556" w:firstLine="0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性别</w:t>
            </w:r>
          </w:p>
        </w:tc>
        <w:tc>
          <w:tcPr>
            <w:tcW w:type="dxa" w:w="2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女</w:t>
            </w:r>
          </w:p>
        </w:tc>
        <w:tc>
          <w:tcPr>
            <w:tcW w:type="dxa" w:w="15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bidi w:val="0"/>
            </w:pPr>
            <w:r>
              <w:drawing>
                <wp:inline distT="0" distB="0" distL="0" distR="0">
                  <wp:extent cx="989965" cy="13909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NADJUSTEDNONRAW_thumb_15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390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1990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8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rtl w:val="0"/>
                <w:lang w:val="en-US"/>
              </w:rPr>
              <w:t>7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日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ind w:left="556" w:firstLine="0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籍贯</w:t>
            </w:r>
          </w:p>
        </w:tc>
        <w:tc>
          <w:tcPr>
            <w:tcW w:type="dxa" w:w="2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四川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·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成都</w:t>
            </w:r>
          </w:p>
        </w:tc>
        <w:tc>
          <w:tcPr>
            <w:tcW w:type="dxa" w:w="15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民族</w:t>
            </w:r>
          </w:p>
        </w:tc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汉族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ind w:left="556" w:firstLine="0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专业</w:t>
            </w:r>
          </w:p>
        </w:tc>
        <w:tc>
          <w:tcPr>
            <w:tcW w:type="dxa" w:w="2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法语</w:t>
            </w:r>
          </w:p>
        </w:tc>
        <w:tc>
          <w:tcPr>
            <w:tcW w:type="dxa" w:w="15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学历</w:t>
            </w:r>
          </w:p>
        </w:tc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本科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ind w:left="556" w:firstLine="0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2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+1 873 688 0303</w:t>
            </w:r>
          </w:p>
        </w:tc>
        <w:tc>
          <w:tcPr>
            <w:tcW w:type="dxa" w:w="15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毕业学校</w:t>
            </w:r>
          </w:p>
        </w:tc>
        <w:tc>
          <w:tcPr>
            <w:tcW w:type="dxa" w:w="2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四川外国语大学成都学院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3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ind w:left="556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E-mail</w:t>
            </w:r>
          </w:p>
        </w:tc>
        <w:tc>
          <w:tcPr>
            <w:tcW w:type="dxa" w:w="405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20" w:lineRule="auto"/>
              <w:ind w:firstLine="420"/>
            </w:pPr>
            <w:r>
              <w:rPr>
                <w:rFonts w:ascii="Times New Roman" w:hAnsi="Times New Roman"/>
                <w:rtl w:val="0"/>
                <w:lang w:val="en-US"/>
              </w:rPr>
              <w:t>guoying-charlotte@hotmail.com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语言能力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24"/>
                <w:tab w:val="left" w:pos="5507"/>
                <w:tab w:val="right" w:pos="7775"/>
              </w:tabs>
              <w:spacing w:line="276" w:lineRule="auto"/>
              <w:ind w:left="413" w:hanging="413"/>
              <w:rPr>
                <w:rFonts w:ascii="Times New Roman" w:cs="Times New Roman" w:hAnsi="Times New Roman" w:eastAsia="Times New Roman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法语：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专业八级，笔译功底扎实，口语流利，擅长工程领域翻译</w:t>
            </w:r>
          </w:p>
          <w:p>
            <w:pPr>
              <w:pStyle w:val="Normal.0"/>
              <w:tabs>
                <w:tab w:val="left" w:pos="2824"/>
                <w:tab w:val="left" w:pos="5507"/>
                <w:tab w:val="right" w:pos="7775"/>
              </w:tabs>
              <w:bidi w:val="0"/>
              <w:spacing w:line="276" w:lineRule="auto"/>
              <w:ind w:left="413" w:right="0" w:hanging="413"/>
              <w:jc w:val="both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英语：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大学英语四级，笔译能力良好，基本沟通与交流无障碍</w:t>
            </w:r>
          </w:p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教育经历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92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24"/>
                <w:tab w:val="left" w:pos="5507"/>
                <w:tab w:val="right" w:pos="7775"/>
              </w:tabs>
              <w:spacing w:line="276" w:lineRule="auto"/>
              <w:ind w:left="412" w:hanging="412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2010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9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rtl w:val="0"/>
                <w:lang w:val="en-US"/>
              </w:rPr>
              <w:t>2014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6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月</w:t>
            </w:r>
            <w:r>
              <w:rPr>
                <w:rFonts w:ascii="Arial Unicode MS" w:cs="Arial Unicode MS" w:hAnsi="Arial Unicode MS" w:eastAsia="Arial Unicode MS"/>
                <w:sz w:val="48"/>
                <w:szCs w:val="48"/>
                <w:lang w:val="en-US"/>
              </w:rPr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四川外国语大学成都学院</w:t>
            </w:r>
            <w:r>
              <w:rPr>
                <w:rFonts w:ascii="Arial Unicode MS" w:cs="Arial Unicode MS" w:hAnsi="Arial Unicode MS" w:eastAsia="Arial Unicode MS"/>
                <w:sz w:val="48"/>
                <w:szCs w:val="48"/>
                <w:lang w:val="en-US"/>
              </w:rPr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法语意大利语系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本科</w:t>
            </w:r>
          </w:p>
          <w:p>
            <w:pPr>
              <w:pStyle w:val="Normal.0"/>
              <w:bidi w:val="0"/>
              <w:spacing w:line="276" w:lineRule="auto"/>
              <w:ind w:left="1029" w:right="0" w:hanging="1029"/>
              <w:jc w:val="both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课程：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高级法语、工程技术法语、外贸法语等</w:t>
            </w:r>
          </w:p>
        </w:tc>
      </w:tr>
      <w:tr>
        <w:tblPrEx>
          <w:shd w:val="clear" w:color="auto" w:fill="ced7e7"/>
        </w:tblPrEx>
        <w:trPr>
          <w:trHeight w:val="1229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技能与证书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宋体" w:cs="宋体" w:hAnsi="宋体" w:eastAsia="宋体" w:hint="eastAsia"/>
                <w:rtl w:val="0"/>
                <w:lang w:val="zh-TW" w:eastAsia="zh-TW"/>
              </w:rPr>
              <w:t>全国法语专业八级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宋体" w:cs="宋体" w:hAnsi="宋体" w:eastAsia="宋体" w:hint="eastAsia"/>
                <w:rtl w:val="0"/>
                <w:lang w:val="zh-TW" w:eastAsia="zh-TW"/>
              </w:rPr>
              <w:t>全国大学英语公共四级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宋体" w:cs="宋体" w:hAnsi="宋体" w:eastAsia="宋体" w:hint="eastAsia"/>
                <w:rtl w:val="0"/>
                <w:lang w:val="zh-TW" w:eastAsia="zh-TW"/>
              </w:rPr>
              <w:t>驾照</w:t>
            </w:r>
            <w:r>
              <w:rPr>
                <w:rFonts w:ascii="Times New Roman" w:hAnsi="Times New Roman"/>
                <w:rtl w:val="0"/>
                <w:lang w:val="en-US"/>
              </w:rPr>
              <w:t>C1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 w:hint="eastAsia"/>
                <w:rtl w:val="0"/>
                <w:lang w:val="zh-TW" w:eastAsia="zh-TW"/>
              </w:rPr>
              <w:t>全国计算机等级考试一级合格证书</w:t>
            </w:r>
          </w:p>
        </w:tc>
      </w:tr>
      <w:tr>
        <w:tblPrEx>
          <w:shd w:val="clear" w:color="auto" w:fill="ced7e7"/>
        </w:tblPrEx>
        <w:trPr>
          <w:trHeight w:val="2073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自我评价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line="276" w:lineRule="auto"/>
              <w:rPr>
                <w:rFonts w:eastAsia="Times New Roman" w:hint="eastAsia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性格活泼开朗、诚实大方，适应能力强，胜任各种办公环境；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追求高效保质的工作状态；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良好的学习、抗压能力；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良好的应变能力；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良好的组织协调能力；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熟练掌握常用办公软件、翻译软件</w:t>
            </w:r>
          </w:p>
        </w:tc>
      </w:tr>
      <w:tr>
        <w:tblPrEx>
          <w:shd w:val="clear" w:color="auto" w:fill="ced7e7"/>
        </w:tblPrEx>
        <w:trPr>
          <w:trHeight w:val="21864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zh-TW" w:eastAsia="zh-TW"/>
              </w:rPr>
              <w:t>工作经历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9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1817" w:hanging="1817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rtl w:val="0"/>
                <w:lang w:val="en-US"/>
              </w:rPr>
              <w:t>2017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cs="Calibri" w:hAnsi="Times New Roman" w:eastAsia="Calibri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rtl w:val="0"/>
                <w:lang w:val="en-US"/>
              </w:rPr>
              <w:t>—</w:t>
            </w:r>
            <w:r>
              <w:rPr>
                <w:rFonts w:ascii="Times New Roman" w:cs="Calibri" w:hAnsi="Times New Roman" w:eastAsia="Calibri"/>
                <w:b w:val="1"/>
                <w:bCs w:val="1"/>
                <w:rtl w:val="0"/>
                <w:lang w:val="en-US"/>
              </w:rPr>
              <w:t>2018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48"/>
                <w:szCs w:val="48"/>
                <w:lang w:val="en-US"/>
              </w:rPr>
              <w:tab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成都天泰嘉元国际贸易有限公司</w:t>
            </w:r>
          </w:p>
          <w:p>
            <w:pPr>
              <w:pStyle w:val="Normal.0"/>
              <w:bidi w:val="0"/>
              <w:spacing w:line="276" w:lineRule="auto"/>
              <w:ind w:left="1817" w:right="0" w:firstLine="605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 xml:space="preserve">  总经理助理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协助总经理开拓非洲市场，与非洲国家高层领导保持接洽；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整理项目资料，完成重要项目的跟进与汇报；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编拟简报，负责公司公众号的推广；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上级安排的其他任务（例如人员接待、会议口译、资料翻译等）。</w:t>
            </w:r>
          </w:p>
          <w:p>
            <w:pPr>
              <w:pStyle w:val="Normal.0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</w:p>
          <w:p>
            <w:pPr>
              <w:pStyle w:val="Normal.0"/>
              <w:bidi w:val="0"/>
              <w:spacing w:line="276" w:lineRule="auto"/>
              <w:ind w:left="2667" w:right="0" w:hanging="2667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2015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2017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48"/>
                <w:szCs w:val="48"/>
                <w:lang w:val="en-US"/>
              </w:rPr>
              <w:tab/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四川语言桥信息技术有限公司</w:t>
            </w:r>
          </w:p>
          <w:p>
            <w:pPr>
              <w:pStyle w:val="Normal.0"/>
              <w:bidi w:val="0"/>
              <w:spacing w:line="276" w:lineRule="auto"/>
              <w:ind w:left="2016" w:right="0" w:firstLine="651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法语翻译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+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审校（笔译）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一、翻译：</w:t>
            </w:r>
          </w:p>
          <w:p>
            <w:pPr>
              <w:pStyle w:val="Normal.0"/>
              <w:bidi w:val="0"/>
              <w:spacing w:line="276" w:lineRule="auto"/>
              <w:ind w:left="0" w:right="0" w:firstLine="458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稿件类型：中法互译（较多）、英译法；</w:t>
            </w:r>
          </w:p>
          <w:p>
            <w:pPr>
              <w:pStyle w:val="Normal.0"/>
              <w:bidi w:val="0"/>
              <w:spacing w:line="276" w:lineRule="auto"/>
              <w:ind w:left="0" w:right="0" w:firstLine="458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涉及领域：工程、机电、经济、汽车、人文社科、执照证书等；</w:t>
            </w:r>
          </w:p>
          <w:p>
            <w:pPr>
              <w:pStyle w:val="Normal.0"/>
              <w:bidi w:val="0"/>
              <w:spacing w:line="276" w:lineRule="auto"/>
              <w:ind w:left="828" w:right="0" w:hanging="37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3.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合作大客户：葛洲坝、华为、海尔集团、中国港湾、中国国航、东方电气、四川电力等；</w:t>
            </w:r>
          </w:p>
          <w:p>
            <w:pPr>
              <w:pStyle w:val="Normal.0"/>
              <w:bidi w:val="0"/>
              <w:spacing w:line="276" w:lineRule="auto"/>
              <w:ind w:left="0" w:right="0" w:firstLine="458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4.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软件运用：熟练使用</w:t>
            </w:r>
            <w:r>
              <w:rPr>
                <w:rFonts w:ascii="Times New Roman" w:hAnsi="Times New Roman"/>
                <w:rtl w:val="0"/>
                <w:lang w:val="en-US"/>
              </w:rPr>
              <w:t>Trados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rtl w:val="0"/>
                <w:lang w:val="en-US"/>
              </w:rPr>
              <w:t>X-bench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等翻译软件；</w:t>
            </w:r>
          </w:p>
          <w:p>
            <w:pPr>
              <w:pStyle w:val="Normal.0"/>
              <w:bidi w:val="0"/>
              <w:spacing w:line="276" w:lineRule="auto"/>
              <w:ind w:left="0" w:right="0" w:firstLine="458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5.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日翻译量：</w:t>
            </w:r>
            <w:r>
              <w:rPr>
                <w:rFonts w:ascii="Times New Roman" w:hAnsi="Times New Roman"/>
                <w:rtl w:val="0"/>
                <w:lang w:val="en-US"/>
              </w:rPr>
              <w:t>4000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rtl w:val="0"/>
                <w:lang w:val="en-US"/>
              </w:rPr>
              <w:t>6000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字；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二、审校：</w:t>
            </w:r>
          </w:p>
          <w:p>
            <w:pPr>
              <w:pStyle w:val="Normal.0"/>
              <w:bidi w:val="0"/>
              <w:spacing w:line="276" w:lineRule="auto"/>
              <w:ind w:left="834" w:right="0" w:hanging="376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根据稿件类型及客户需求，快速准确地抓住重点完成译文审校、修改及润色，确保译文内容准确，措辞地道；</w:t>
            </w:r>
          </w:p>
          <w:p>
            <w:pPr>
              <w:pStyle w:val="Normal.0"/>
              <w:bidi w:val="0"/>
              <w:spacing w:line="276" w:lineRule="auto"/>
              <w:ind w:left="0" w:right="0" w:firstLine="458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  <w:tab/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软件运用：熟练使用</w:t>
            </w:r>
            <w:r>
              <w:rPr>
                <w:rFonts w:ascii="Times New Roman" w:hAnsi="Times New Roman"/>
                <w:rtl w:val="0"/>
                <w:lang w:val="en-US"/>
              </w:rPr>
              <w:t>X-bench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等审校软件，有效降低译文出错率。</w:t>
            </w:r>
          </w:p>
          <w:p>
            <w:pPr>
              <w:pStyle w:val="Normal.0"/>
              <w:spacing w:line="276" w:lineRule="auto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bidi w:val="0"/>
              <w:spacing w:line="276" w:lineRule="auto"/>
              <w:ind w:left="2667" w:right="0" w:hanging="2667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2014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2015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48"/>
                <w:szCs w:val="48"/>
                <w:lang w:val="en-US"/>
              </w:rPr>
              <w:tab/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华山国际工程公司（陕西建工集团总公司海外部）</w:t>
            </w:r>
          </w:p>
          <w:p>
            <w:pPr>
              <w:pStyle w:val="Normal.0"/>
              <w:bidi w:val="0"/>
              <w:spacing w:line="276" w:lineRule="auto"/>
              <w:ind w:left="2575" w:right="0" w:firstLine="91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法语翻译（口译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+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笔译）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此为外派岗位，先后在非洲喀麦隆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埃博洛瓦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与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雅温得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工作。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一、埃博洛瓦（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2014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9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月）</w:t>
            </w:r>
          </w:p>
          <w:p>
            <w:pPr>
              <w:pStyle w:val="Normal.0"/>
              <w:bidi w:val="0"/>
              <w:spacing w:line="276" w:lineRule="auto"/>
              <w:ind w:left="0" w:right="0" w:firstLine="42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在埃期间，担任埃博洛瓦三星级国际酒店项目法语翻译</w:t>
            </w:r>
          </w:p>
          <w:p>
            <w:pPr>
              <w:pStyle w:val="Normal.0"/>
              <w:bidi w:val="0"/>
              <w:spacing w:line="276" w:lineRule="auto"/>
              <w:ind w:left="0" w:right="0" w:firstLine="42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主要工作内容如下：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口译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工地周例会；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协助领导与当地相关方人员沟通；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协理项目经理不定期与省长见面；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工地现场交流；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其他必要口译支持。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笔译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工地例会纪要；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实时更新项目资料；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与相关方的往来函件；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其他必要文件翻译。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二、雅温得（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2014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10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2015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 w:hint="eastAsia"/>
                <w:b w:val="1"/>
                <w:bCs w:val="1"/>
                <w:rtl w:val="0"/>
                <w:lang w:val="zh-TW" w:eastAsia="zh-TW"/>
              </w:rPr>
              <w:t>月）</w:t>
            </w:r>
          </w:p>
          <w:p>
            <w:pPr>
              <w:pStyle w:val="Normal.0"/>
              <w:bidi w:val="0"/>
              <w:spacing w:line="276" w:lineRule="auto"/>
              <w:ind w:left="0" w:right="0" w:firstLine="42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在雅期间，同时担任</w:t>
            </w:r>
            <w:r>
              <w:rPr>
                <w:rFonts w:ascii="Times New Roman" w:hAnsi="Times New Roman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个项目的法语翻译：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司法部大楼项目（重点参与）；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司法部扩建项目；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精品项目；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礼堂项目。</w:t>
            </w:r>
          </w:p>
          <w:p>
            <w:pPr>
              <w:pStyle w:val="Normal.0"/>
              <w:bidi w:val="0"/>
              <w:spacing w:line="276" w:lineRule="auto"/>
              <w:ind w:left="0" w:right="0" w:firstLine="42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主要工作内容如下：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口译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工地周例会；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不定期技术会议；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协助项目负责人与当地相关方人员沟通；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根据合同条款及要求，催付预付款；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寻求水电安装；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协助工地现场交流；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笔译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合同；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工地例会纪要；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技术会议纪要；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实时更新项目资料；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往来函件；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招投标文件；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rFonts w:eastAsia="Times New Roman" w:hint="eastAsia"/>
                <w:rtl w:val="0"/>
                <w:lang w:val="zh-TW" w:eastAsia="zh-TW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其他必要文件翻译支持。</w:t>
            </w:r>
          </w:p>
        </w:tc>
      </w:tr>
      <w:tr>
        <w:tblPrEx>
          <w:shd w:val="clear" w:color="auto" w:fill="ced7e7"/>
        </w:tblPrEx>
        <w:trPr>
          <w:trHeight w:val="1364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在校实践活动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2476" w:hanging="2302"/>
              <w:jc w:val="left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2010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9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rtl w:val="0"/>
                <w:lang w:val="en-US"/>
              </w:rPr>
              <w:t>2012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9</w:t>
            </w: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月</w:t>
            </w:r>
          </w:p>
          <w:p>
            <w:pPr>
              <w:pStyle w:val="Normal.0"/>
              <w:bidi w:val="0"/>
              <w:spacing w:line="276" w:lineRule="auto"/>
              <w:ind w:left="172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eastAsia"/>
                <w:rtl w:val="0"/>
                <w:lang w:val="zh-TW" w:eastAsia="zh-TW"/>
              </w:rPr>
              <w:t>在校期间积极参与校园、班级活动，曾任班级组织委员及院学生会生活部干事，组织班级及团员活动，召开班级会议，帮助校内同学勤工俭学，放映校园活动电影等多项活动，并协助院学生会其他部门开展各项活动。曾成功筹划组织校内大型选秀活动。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zh-TW" w:eastAsia="zh-TW"/>
              </w:rPr>
              <w:t>特长爱好</w:t>
            </w:r>
          </w:p>
        </w:tc>
        <w:tc>
          <w:tcPr>
            <w:tcW w:type="dxa" w:w="82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2476" w:hanging="2302"/>
              <w:jc w:val="left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钢琴（业余七级）、二胡、阅读、电影等</w:t>
            </w:r>
          </w:p>
        </w:tc>
      </w:tr>
    </w:tbl>
    <w:p>
      <w:pPr>
        <w:pStyle w:val="Normal.0"/>
        <w:ind w:left="108" w:hanging="108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1247" w:right="851" w:bottom="1134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楷体_GB2312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楷体_GB2312" w:cs="楷体_GB2312" w:hAnsi="楷体_GB2312" w:eastAsia="楷体_GB2312"/>
        <w:rtl w:val="0"/>
        <w:lang w:val="zh-TW" w:eastAsia="zh-TW"/>
      </w:rPr>
      <w:t>郭盈简历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84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6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8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0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52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4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78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20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7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1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3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45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7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71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13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119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61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03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5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87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329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1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13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55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119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61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03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5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87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329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1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13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551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5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7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94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1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43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54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7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69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114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2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6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2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6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6"/>
    <w:lvlOverride w:ilvl="0">
      <w:startOverride w:val="2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