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4362" w14:textId="779C45B3" w:rsidR="00EF1111" w:rsidRPr="00EF1111" w:rsidRDefault="00EF1111" w:rsidP="00EF1111">
      <w:pPr>
        <w:rPr>
          <w:rFonts w:ascii="Songti TC" w:hAnsi="Songti TC" w:cs="SimSun" w:hint="eastAsia"/>
          <w:b/>
          <w:bCs/>
          <w:color w:val="000000"/>
          <w:kern w:val="0"/>
          <w:sz w:val="30"/>
          <w:szCs w:val="30"/>
        </w:rPr>
      </w:pPr>
      <w:r>
        <w:rPr>
          <w:rFonts w:ascii="Songti TC" w:hAnsi="Songti TC" w:cs="SimSun"/>
          <w:b/>
          <w:bCs/>
          <w:color w:val="000000"/>
          <w:kern w:val="0"/>
          <w:sz w:val="30"/>
          <w:szCs w:val="30"/>
        </w:rPr>
        <w:t>1</w:t>
      </w:r>
      <w:r>
        <w:rPr>
          <w:rFonts w:ascii="Songti TC" w:hAnsi="Songti TC" w:cs="SimSun" w:hint="eastAsia"/>
          <w:b/>
          <w:bCs/>
          <w:color w:val="000000"/>
          <w:kern w:val="0"/>
          <w:sz w:val="30"/>
          <w:szCs w:val="30"/>
        </w:rPr>
        <w:t>、</w:t>
      </w:r>
      <w:r w:rsidRPr="00EF1111">
        <w:rPr>
          <w:rFonts w:ascii="Songti TC" w:hAnsi="Songti TC" w:cs="SimSun"/>
          <w:b/>
          <w:bCs/>
          <w:color w:val="000000"/>
          <w:kern w:val="0"/>
          <w:sz w:val="30"/>
          <w:szCs w:val="30"/>
        </w:rPr>
        <w:t xml:space="preserve">Blockchain </w:t>
      </w:r>
      <w:r w:rsidRPr="00EF1111">
        <w:rPr>
          <w:rFonts w:ascii="Songti TC" w:hAnsi="Songti TC" w:cs="SimSun" w:hint="eastAsia"/>
          <w:b/>
          <w:bCs/>
          <w:color w:val="000000"/>
          <w:kern w:val="0"/>
          <w:sz w:val="30"/>
          <w:szCs w:val="30"/>
        </w:rPr>
        <w:t>Sample</w:t>
      </w:r>
      <w:r w:rsidRPr="00EF1111">
        <w:rPr>
          <w:rFonts w:ascii="Songti TC" w:hAnsi="Songti TC" w:cs="SimSun"/>
          <w:b/>
          <w:bCs/>
          <w:color w:val="000000"/>
          <w:kern w:val="0"/>
          <w:sz w:val="30"/>
          <w:szCs w:val="30"/>
        </w:rPr>
        <w:t xml:space="preserve"> (</w:t>
      </w:r>
      <w:r w:rsidRPr="00EF1111">
        <w:rPr>
          <w:rFonts w:ascii="Songti TC" w:hAnsi="Songti TC" w:cs="SimSun" w:hint="eastAsia"/>
          <w:b/>
          <w:bCs/>
          <w:color w:val="000000"/>
          <w:kern w:val="0"/>
          <w:sz w:val="30"/>
          <w:szCs w:val="30"/>
        </w:rPr>
        <w:t>English</w:t>
      </w:r>
      <w:r w:rsidRPr="00EF1111">
        <w:rPr>
          <w:rFonts w:ascii="Songti TC" w:hAnsi="Songti TC" w:cs="SimSun"/>
          <w:b/>
          <w:bCs/>
          <w:color w:val="000000"/>
          <w:kern w:val="0"/>
          <w:sz w:val="30"/>
          <w:szCs w:val="30"/>
        </w:rPr>
        <w:t xml:space="preserve"> </w:t>
      </w:r>
      <w:r w:rsidRPr="00EF1111">
        <w:rPr>
          <w:rFonts w:ascii="Songti TC" w:hAnsi="Songti TC" w:cs="SimSun" w:hint="eastAsia"/>
          <w:b/>
          <w:bCs/>
          <w:color w:val="000000"/>
          <w:kern w:val="0"/>
          <w:sz w:val="30"/>
          <w:szCs w:val="30"/>
        </w:rPr>
        <w:t>to</w:t>
      </w:r>
      <w:r w:rsidRPr="00EF1111">
        <w:rPr>
          <w:rFonts w:ascii="Songti TC" w:hAnsi="Songti TC" w:cs="SimSun"/>
          <w:b/>
          <w:bCs/>
          <w:color w:val="000000"/>
          <w:kern w:val="0"/>
          <w:sz w:val="30"/>
          <w:szCs w:val="30"/>
        </w:rPr>
        <w:t xml:space="preserve"> </w:t>
      </w:r>
      <w:r w:rsidRPr="00EF1111">
        <w:rPr>
          <w:rFonts w:ascii="Songti TC" w:hAnsi="Songti TC" w:cs="SimSun" w:hint="eastAsia"/>
          <w:b/>
          <w:bCs/>
          <w:color w:val="000000"/>
          <w:kern w:val="0"/>
          <w:sz w:val="30"/>
          <w:szCs w:val="30"/>
        </w:rPr>
        <w:t>Chinese</w:t>
      </w:r>
      <w:r w:rsidRPr="00EF1111">
        <w:rPr>
          <w:rFonts w:ascii="Songti TC" w:hAnsi="Songti TC" w:cs="SimSun"/>
          <w:b/>
          <w:bCs/>
          <w:color w:val="000000"/>
          <w:kern w:val="0"/>
          <w:sz w:val="30"/>
          <w:szCs w:val="30"/>
        </w:rPr>
        <w:t xml:space="preserve"> </w:t>
      </w:r>
      <w:r w:rsidRPr="00EF1111">
        <w:rPr>
          <w:rFonts w:ascii="Songti TC" w:hAnsi="Songti TC" w:cs="SimSun" w:hint="eastAsia"/>
          <w:b/>
          <w:bCs/>
          <w:color w:val="000000"/>
          <w:kern w:val="0"/>
          <w:sz w:val="30"/>
          <w:szCs w:val="30"/>
        </w:rPr>
        <w:t>translation</w:t>
      </w:r>
      <w:r w:rsidRPr="00EF1111">
        <w:rPr>
          <w:rFonts w:ascii="Songti TC" w:hAnsi="Songti TC" w:cs="SimSun"/>
          <w:b/>
          <w:bCs/>
          <w:color w:val="000000"/>
          <w:kern w:val="0"/>
          <w:sz w:val="30"/>
          <w:szCs w:val="30"/>
        </w:rPr>
        <w:t>)</w:t>
      </w:r>
    </w:p>
    <w:p w14:paraId="18E1037E" w14:textId="05B4EC70" w:rsidR="004E7159" w:rsidRDefault="00EF1111" w:rsidP="00EF1111">
      <w:pPr>
        <w:rPr>
          <w:rFonts w:ascii="Songti TC" w:hAnsi="Songti TC" w:cs="SimSun"/>
          <w:color w:val="000000"/>
          <w:kern w:val="0"/>
          <w:szCs w:val="21"/>
        </w:rPr>
      </w:pPr>
      <w:r w:rsidRPr="00EF1111">
        <w:rPr>
          <w:rFonts w:ascii="Songti TC" w:hAnsi="Songti TC" w:cs="SimSun"/>
          <w:color w:val="000000"/>
          <w:kern w:val="0"/>
          <w:szCs w:val="21"/>
        </w:rPr>
        <w:t>The Balance Accounted Receipt (BAR) Ecological System is an open source distributed blockchain system that supports community, applications and transaction solutions. The interoperability among the three solutions enables an ecological incubator on the chain to support, integrate and promote transaction scenarios, application scenarios and community systems in a decentralized way, gradually forming a well-balanced multiple eco</w:t>
      </w:r>
      <w:r>
        <w:rPr>
          <w:rFonts w:ascii="Songti TC" w:hAnsi="Songti TC" w:cs="SimSun" w:hint="eastAsia"/>
          <w:color w:val="000000"/>
          <w:kern w:val="0"/>
          <w:szCs w:val="21"/>
        </w:rPr>
        <w:t>-</w:t>
      </w:r>
      <w:r w:rsidRPr="00EF1111">
        <w:rPr>
          <w:rFonts w:ascii="Songti TC" w:hAnsi="Songti TC" w:cs="SimSun"/>
          <w:color w:val="000000"/>
          <w:kern w:val="0"/>
          <w:szCs w:val="21"/>
        </w:rPr>
        <w:t>system. Enjoying internal equilibrium, the ecosystem comes with the three solutions complementing each other and serving the BAR main chain to generate the complete value of data!</w:t>
      </w:r>
    </w:p>
    <w:p w14:paraId="4E99D5CF" w14:textId="759D1EE3" w:rsidR="00EF1111" w:rsidRDefault="00EF1111" w:rsidP="00EF1111">
      <w:pPr>
        <w:rPr>
          <w:rFonts w:ascii="Songti TC" w:hAnsi="Songti TC" w:cs="SimSun"/>
          <w:color w:val="000000"/>
          <w:kern w:val="0"/>
          <w:szCs w:val="21"/>
        </w:rPr>
      </w:pPr>
      <w:r w:rsidRPr="00EF1111">
        <w:rPr>
          <w:rFonts w:ascii="Songti TC" w:hAnsi="Songti TC" w:cs="SimSun"/>
          <w:color w:val="000000"/>
          <w:kern w:val="0"/>
          <w:szCs w:val="21"/>
        </w:rPr>
        <w:t>BAR</w:t>
      </w:r>
      <w:r w:rsidRPr="00EF1111">
        <w:rPr>
          <w:rFonts w:ascii="Songti TC" w:hAnsi="Songti TC" w:cs="SimSun"/>
          <w:color w:val="000000"/>
          <w:kern w:val="0"/>
          <w:szCs w:val="21"/>
        </w:rPr>
        <w:t>是一种涵盖社群、交易和应用三种方案的开源分布式区块链系统，通过三种方案的互通实现链上生态孵化器，孵化器以完全去中心化的方式扶持、整合并提升各类交易场景、应用场景、社群体系后，逐渐完成均衡的多元生态内涵。而这一完整的生态体系将实现内部均衡，互补并反补</w:t>
      </w:r>
      <w:r w:rsidRPr="00EF1111">
        <w:rPr>
          <w:rFonts w:ascii="Songti TC" w:hAnsi="Songti TC" w:cs="SimSun"/>
          <w:color w:val="000000"/>
          <w:kern w:val="0"/>
          <w:szCs w:val="21"/>
        </w:rPr>
        <w:t>BAR</w:t>
      </w:r>
      <w:r w:rsidRPr="00EF1111">
        <w:rPr>
          <w:rFonts w:ascii="Songti TC" w:hAnsi="Songti TC" w:cs="SimSun"/>
          <w:color w:val="000000"/>
          <w:kern w:val="0"/>
          <w:szCs w:val="21"/>
        </w:rPr>
        <w:t>主链，最终实现数据完整价值！</w:t>
      </w:r>
    </w:p>
    <w:p w14:paraId="15E9CE26" w14:textId="009DD2DD" w:rsidR="00EF1111" w:rsidRPr="00EF1111" w:rsidRDefault="00EF1111" w:rsidP="00EF1111">
      <w:pPr>
        <w:rPr>
          <w:rFonts w:ascii="Songti TC" w:hAnsi="Songti TC" w:cs="SimSun"/>
          <w:b/>
          <w:bCs/>
          <w:color w:val="000000"/>
          <w:kern w:val="0"/>
          <w:sz w:val="30"/>
          <w:szCs w:val="30"/>
        </w:rPr>
      </w:pPr>
      <w:r w:rsidRPr="00EF1111">
        <w:rPr>
          <w:rFonts w:ascii="Songti TC" w:hAnsi="Songti TC" w:cs="SimSun"/>
          <w:b/>
          <w:bCs/>
          <w:color w:val="000000"/>
          <w:kern w:val="0"/>
          <w:sz w:val="30"/>
          <w:szCs w:val="30"/>
        </w:rPr>
        <w:t>2</w:t>
      </w:r>
      <w:r w:rsidRPr="00EF1111">
        <w:rPr>
          <w:rFonts w:ascii="Songti TC" w:hAnsi="Songti TC" w:cs="SimSun" w:hint="eastAsia"/>
          <w:b/>
          <w:bCs/>
          <w:color w:val="000000"/>
          <w:kern w:val="0"/>
          <w:sz w:val="30"/>
          <w:szCs w:val="30"/>
        </w:rPr>
        <w:t>、</w:t>
      </w:r>
      <w:r>
        <w:rPr>
          <w:rFonts w:ascii="Songti TC" w:hAnsi="Songti TC" w:cs="SimSun" w:hint="eastAsia"/>
          <w:b/>
          <w:bCs/>
          <w:color w:val="000000"/>
          <w:kern w:val="0"/>
          <w:sz w:val="30"/>
          <w:szCs w:val="30"/>
        </w:rPr>
        <w:t>Financial</w:t>
      </w:r>
      <w:r w:rsidRPr="00EF1111">
        <w:rPr>
          <w:rFonts w:ascii="Songti TC" w:hAnsi="Songti TC" w:cs="SimSun"/>
          <w:b/>
          <w:bCs/>
          <w:color w:val="000000"/>
          <w:kern w:val="0"/>
          <w:sz w:val="30"/>
          <w:szCs w:val="30"/>
        </w:rPr>
        <w:t xml:space="preserve"> </w:t>
      </w:r>
      <w:r w:rsidRPr="00EF1111">
        <w:rPr>
          <w:rFonts w:ascii="Songti TC" w:hAnsi="Songti TC" w:cs="SimSun" w:hint="eastAsia"/>
          <w:b/>
          <w:bCs/>
          <w:color w:val="000000"/>
          <w:kern w:val="0"/>
          <w:sz w:val="30"/>
          <w:szCs w:val="30"/>
        </w:rPr>
        <w:t>Sample</w:t>
      </w:r>
      <w:r w:rsidRPr="00EF1111">
        <w:rPr>
          <w:rFonts w:ascii="Songti TC" w:hAnsi="Songti TC" w:cs="SimSun"/>
          <w:b/>
          <w:bCs/>
          <w:color w:val="000000"/>
          <w:kern w:val="0"/>
          <w:sz w:val="30"/>
          <w:szCs w:val="30"/>
        </w:rPr>
        <w:t xml:space="preserve"> (</w:t>
      </w:r>
      <w:r w:rsidRPr="00EF1111">
        <w:rPr>
          <w:rFonts w:ascii="Songti TC" w:hAnsi="Songti TC" w:cs="SimSun" w:hint="eastAsia"/>
          <w:b/>
          <w:bCs/>
          <w:color w:val="000000"/>
          <w:kern w:val="0"/>
          <w:sz w:val="30"/>
          <w:szCs w:val="30"/>
        </w:rPr>
        <w:t>English</w:t>
      </w:r>
      <w:r w:rsidRPr="00EF1111">
        <w:rPr>
          <w:rFonts w:ascii="Songti TC" w:hAnsi="Songti TC" w:cs="SimSun"/>
          <w:b/>
          <w:bCs/>
          <w:color w:val="000000"/>
          <w:kern w:val="0"/>
          <w:sz w:val="30"/>
          <w:szCs w:val="30"/>
        </w:rPr>
        <w:t xml:space="preserve"> </w:t>
      </w:r>
      <w:r w:rsidRPr="00EF1111">
        <w:rPr>
          <w:rFonts w:ascii="Songti TC" w:hAnsi="Songti TC" w:cs="SimSun" w:hint="eastAsia"/>
          <w:b/>
          <w:bCs/>
          <w:color w:val="000000"/>
          <w:kern w:val="0"/>
          <w:sz w:val="30"/>
          <w:szCs w:val="30"/>
        </w:rPr>
        <w:t>to</w:t>
      </w:r>
      <w:r w:rsidRPr="00EF1111">
        <w:rPr>
          <w:rFonts w:ascii="Songti TC" w:hAnsi="Songti TC" w:cs="SimSun"/>
          <w:b/>
          <w:bCs/>
          <w:color w:val="000000"/>
          <w:kern w:val="0"/>
          <w:sz w:val="30"/>
          <w:szCs w:val="30"/>
        </w:rPr>
        <w:t xml:space="preserve"> </w:t>
      </w:r>
      <w:r w:rsidRPr="00EF1111">
        <w:rPr>
          <w:rFonts w:ascii="Songti TC" w:hAnsi="Songti TC" w:cs="SimSun" w:hint="eastAsia"/>
          <w:b/>
          <w:bCs/>
          <w:color w:val="000000"/>
          <w:kern w:val="0"/>
          <w:sz w:val="30"/>
          <w:szCs w:val="30"/>
        </w:rPr>
        <w:t>Chinese</w:t>
      </w:r>
      <w:r w:rsidRPr="00EF1111">
        <w:rPr>
          <w:rFonts w:ascii="Songti TC" w:hAnsi="Songti TC" w:cs="SimSun"/>
          <w:b/>
          <w:bCs/>
          <w:color w:val="000000"/>
          <w:kern w:val="0"/>
          <w:sz w:val="30"/>
          <w:szCs w:val="30"/>
        </w:rPr>
        <w:t xml:space="preserve"> </w:t>
      </w:r>
      <w:r w:rsidRPr="00EF1111">
        <w:rPr>
          <w:rFonts w:ascii="Songti TC" w:hAnsi="Songti TC" w:cs="SimSun" w:hint="eastAsia"/>
          <w:b/>
          <w:bCs/>
          <w:color w:val="000000"/>
          <w:kern w:val="0"/>
          <w:sz w:val="30"/>
          <w:szCs w:val="30"/>
        </w:rPr>
        <w:t>translation</w:t>
      </w:r>
      <w:r w:rsidRPr="00EF1111">
        <w:rPr>
          <w:rFonts w:ascii="Songti TC" w:hAnsi="Songti TC" w:cs="SimSun"/>
          <w:b/>
          <w:bCs/>
          <w:color w:val="000000"/>
          <w:kern w:val="0"/>
          <w:sz w:val="30"/>
          <w:szCs w:val="30"/>
        </w:rPr>
        <w:t>)</w:t>
      </w:r>
    </w:p>
    <w:p w14:paraId="3A094793" w14:textId="70A8AA6B" w:rsidR="00EF1111" w:rsidRDefault="00EF1111" w:rsidP="00EF1111">
      <w:pPr>
        <w:rPr>
          <w:rFonts w:ascii="Songti TC" w:hAnsi="Songti TC" w:cs="SimSun"/>
          <w:color w:val="000000"/>
          <w:kern w:val="0"/>
          <w:szCs w:val="21"/>
        </w:rPr>
      </w:pPr>
      <w:r w:rsidRPr="00EF1111">
        <w:rPr>
          <w:rFonts w:ascii="Songti TC" w:hAnsi="Songti TC" w:cs="SimSun"/>
          <w:color w:val="000000"/>
          <w:kern w:val="0"/>
          <w:szCs w:val="21"/>
        </w:rPr>
        <w:t>Gold had a phenomenal week. It breached the $1,800-per-ounce resistance level for the first time since 2011 before pulling back to close at $1,798.84, up 1.4% on the week. What led gold into the bull market? First, investors' panic over the worsening COVID-19 pandemic caused heightened risk aversion. Second, money supply grew in the wake of the central bank stimulus package, and rendered gold likely to rebound in both the short and long terms. Third, several Fed officials issued varying degrees of negative forecasts about the outlook for the U.S. economy. Fourth, a flood of money into the gold investment market has spurred it to become more active. Year-to-date inflows into bullion-backed exchange-traded funds (ETF), for example, have topped the record full-year total set in 2009. But at technical level, the bullish behavior looks poised to discontinue as the Relative Strength Index (RSI) reached over 70 and thus pushed into overbought territory. Therefore, short-term movements in the gold price are more of a concern, while the long-term trend is likely to be positive if by any chance the pandemic prevention and control measures yield little.</w:t>
      </w:r>
    </w:p>
    <w:p w14:paraId="58F51E57" w14:textId="24E0117C" w:rsidR="00EF1111" w:rsidRPr="00EF1111" w:rsidRDefault="00EF1111" w:rsidP="00EF1111">
      <w:pPr>
        <w:rPr>
          <w:rFonts w:ascii="Songti TC" w:hAnsi="Songti TC" w:cs="SimSun" w:hint="eastAsia"/>
          <w:color w:val="000000"/>
          <w:kern w:val="0"/>
          <w:szCs w:val="21"/>
        </w:rPr>
      </w:pPr>
      <w:r w:rsidRPr="00EF1111">
        <w:rPr>
          <w:rFonts w:ascii="Songti TC" w:hAnsi="Songti TC" w:cs="SimSun"/>
          <w:color w:val="000000"/>
          <w:kern w:val="0"/>
          <w:szCs w:val="21"/>
        </w:rPr>
        <w:t>上周黄金表现极具亮眼</w:t>
      </w:r>
      <w:r>
        <w:rPr>
          <w:rFonts w:ascii="Songti TC" w:hAnsi="Songti TC" w:cs="SimSun" w:hint="eastAsia"/>
          <w:color w:val="000000"/>
          <w:kern w:val="0"/>
          <w:szCs w:val="21"/>
        </w:rPr>
        <w:t>！</w:t>
      </w:r>
      <w:r w:rsidRPr="00EF1111">
        <w:rPr>
          <w:rFonts w:ascii="Songti TC" w:hAnsi="Songti TC" w:cs="SimSun"/>
          <w:color w:val="000000"/>
          <w:kern w:val="0"/>
          <w:szCs w:val="21"/>
        </w:rPr>
        <w:t>金价飙升至每盎司</w:t>
      </w:r>
      <w:r w:rsidRPr="00EF1111">
        <w:rPr>
          <w:rFonts w:ascii="Songti TC" w:hAnsi="Songti TC" w:cs="SimSun"/>
          <w:color w:val="000000"/>
          <w:kern w:val="0"/>
          <w:szCs w:val="21"/>
        </w:rPr>
        <w:t>1,800</w:t>
      </w:r>
      <w:r w:rsidRPr="00EF1111">
        <w:rPr>
          <w:rFonts w:ascii="Songti TC" w:hAnsi="Songti TC" w:cs="SimSun"/>
          <w:color w:val="000000"/>
          <w:kern w:val="0"/>
          <w:szCs w:val="21"/>
        </w:rPr>
        <w:t>美元</w:t>
      </w:r>
      <w:r w:rsidRPr="00EF1111">
        <w:rPr>
          <w:rFonts w:ascii="Songti TC" w:hAnsi="Songti TC" w:cs="SimSun"/>
          <w:color w:val="000000"/>
          <w:kern w:val="0"/>
          <w:szCs w:val="21"/>
        </w:rPr>
        <w:t>/</w:t>
      </w:r>
      <w:r w:rsidRPr="00EF1111">
        <w:rPr>
          <w:rFonts w:ascii="Songti TC" w:hAnsi="Songti TC" w:cs="SimSun"/>
          <w:color w:val="000000"/>
          <w:kern w:val="0"/>
          <w:szCs w:val="21"/>
        </w:rPr>
        <w:t>盎司的技术水平上方，为</w:t>
      </w:r>
      <w:r w:rsidRPr="00EF1111">
        <w:rPr>
          <w:rFonts w:ascii="Songti TC" w:hAnsi="Songti TC" w:cs="SimSun"/>
          <w:color w:val="000000"/>
          <w:kern w:val="0"/>
          <w:szCs w:val="21"/>
        </w:rPr>
        <w:t>2011</w:t>
      </w:r>
      <w:r w:rsidRPr="00EF1111">
        <w:rPr>
          <w:rFonts w:ascii="Songti TC" w:hAnsi="Songti TC" w:cs="SimSun"/>
          <w:color w:val="000000"/>
          <w:kern w:val="0"/>
          <w:szCs w:val="21"/>
        </w:rPr>
        <w:t>年以来首次，但随后有所回调</w:t>
      </w:r>
      <w:r>
        <w:rPr>
          <w:rFonts w:ascii="Songti TC" w:hAnsi="Songti TC" w:cs="SimSun" w:hint="eastAsia"/>
          <w:color w:val="000000"/>
          <w:kern w:val="0"/>
          <w:szCs w:val="21"/>
        </w:rPr>
        <w:t>。</w:t>
      </w:r>
      <w:r w:rsidRPr="00EF1111">
        <w:rPr>
          <w:rFonts w:ascii="Songti TC" w:hAnsi="Songti TC" w:cs="SimSun"/>
          <w:color w:val="000000"/>
          <w:kern w:val="0"/>
          <w:szCs w:val="21"/>
        </w:rPr>
        <w:t>上周黄金报跌</w:t>
      </w:r>
      <w:r w:rsidRPr="00EF1111">
        <w:rPr>
          <w:rFonts w:ascii="Songti TC" w:hAnsi="Songti TC" w:cs="SimSun"/>
          <w:color w:val="000000"/>
          <w:kern w:val="0"/>
          <w:szCs w:val="21"/>
        </w:rPr>
        <w:t>1798.84</w:t>
      </w:r>
      <w:r w:rsidRPr="00EF1111">
        <w:rPr>
          <w:rFonts w:ascii="Songti TC" w:hAnsi="Songti TC" w:cs="SimSun"/>
          <w:color w:val="000000"/>
          <w:kern w:val="0"/>
          <w:szCs w:val="21"/>
        </w:rPr>
        <w:t>美金</w:t>
      </w:r>
      <w:r w:rsidRPr="00EF1111">
        <w:rPr>
          <w:rFonts w:ascii="Songti TC" w:hAnsi="Songti TC" w:cs="SimSun"/>
          <w:color w:val="000000"/>
          <w:kern w:val="0"/>
          <w:szCs w:val="21"/>
        </w:rPr>
        <w:t>/</w:t>
      </w:r>
      <w:r w:rsidRPr="00EF1111">
        <w:rPr>
          <w:rFonts w:ascii="Songti TC" w:hAnsi="Songti TC" w:cs="SimSun"/>
          <w:color w:val="000000"/>
          <w:kern w:val="0"/>
          <w:szCs w:val="21"/>
        </w:rPr>
        <w:t>盎司，周内涨幅</w:t>
      </w:r>
      <w:r w:rsidRPr="00EF1111">
        <w:rPr>
          <w:rFonts w:ascii="Songti TC" w:hAnsi="Songti TC" w:cs="SimSun"/>
          <w:color w:val="000000"/>
          <w:kern w:val="0"/>
          <w:szCs w:val="21"/>
        </w:rPr>
        <w:t>1.4%</w:t>
      </w:r>
      <w:r w:rsidRPr="00EF1111">
        <w:rPr>
          <w:rFonts w:ascii="Songti TC" w:hAnsi="Songti TC" w:cs="SimSun"/>
          <w:color w:val="000000"/>
          <w:kern w:val="0"/>
          <w:szCs w:val="21"/>
        </w:rPr>
        <w:t>。这波引领黄金再次到达顶峰的因素主要</w:t>
      </w:r>
      <w:r>
        <w:rPr>
          <w:rFonts w:ascii="Songti TC" w:hAnsi="Songti TC" w:cs="SimSun" w:hint="eastAsia"/>
          <w:color w:val="000000"/>
          <w:kern w:val="0"/>
          <w:szCs w:val="21"/>
        </w:rPr>
        <w:t>有</w:t>
      </w:r>
      <w:r w:rsidRPr="00EF1111">
        <w:rPr>
          <w:rFonts w:ascii="Songti TC" w:hAnsi="Songti TC" w:cs="SimSun"/>
          <w:color w:val="000000"/>
          <w:kern w:val="0"/>
          <w:szCs w:val="21"/>
        </w:rPr>
        <w:t>：</w:t>
      </w:r>
      <w:r w:rsidRPr="00EF1111">
        <w:rPr>
          <w:rFonts w:ascii="Songti TC" w:hAnsi="Songti TC" w:cs="SimSun"/>
          <w:color w:val="000000"/>
          <w:kern w:val="0"/>
          <w:szCs w:val="21"/>
        </w:rPr>
        <w:t xml:space="preserve">1. </w:t>
      </w:r>
      <w:r w:rsidRPr="00EF1111">
        <w:rPr>
          <w:rFonts w:ascii="Songti TC" w:hAnsi="Songti TC" w:cs="SimSun"/>
          <w:color w:val="000000"/>
          <w:kern w:val="0"/>
          <w:szCs w:val="21"/>
        </w:rPr>
        <w:t>投资者对疫情恶化的恐慌，导致避险情绪加剧。</w:t>
      </w:r>
      <w:r w:rsidRPr="00EF1111">
        <w:rPr>
          <w:rFonts w:ascii="Songti TC" w:hAnsi="Songti TC" w:cs="SimSun"/>
          <w:color w:val="000000"/>
          <w:kern w:val="0"/>
          <w:szCs w:val="21"/>
        </w:rPr>
        <w:t xml:space="preserve">2. </w:t>
      </w:r>
      <w:r w:rsidRPr="00EF1111">
        <w:rPr>
          <w:rFonts w:ascii="Songti TC" w:hAnsi="Songti TC" w:cs="SimSun"/>
          <w:color w:val="000000"/>
          <w:kern w:val="0"/>
          <w:szCs w:val="21"/>
        </w:rPr>
        <w:t>各国央行的刺激措施由此产生更多的货币供应，使黄金在短期和长期内都有望反弹。</w:t>
      </w:r>
      <w:r w:rsidRPr="00EF1111">
        <w:rPr>
          <w:rFonts w:ascii="Songti TC" w:hAnsi="Songti TC" w:cs="SimSun"/>
          <w:color w:val="000000"/>
          <w:kern w:val="0"/>
          <w:szCs w:val="21"/>
        </w:rPr>
        <w:t xml:space="preserve">3. </w:t>
      </w:r>
      <w:r w:rsidRPr="00EF1111">
        <w:rPr>
          <w:rFonts w:ascii="Songti TC" w:hAnsi="Songti TC" w:cs="SimSun"/>
          <w:color w:val="000000"/>
          <w:kern w:val="0"/>
          <w:szCs w:val="21"/>
        </w:rPr>
        <w:t>上周多位美联储官员对美国经济前景发表了不同程度的消极预测。</w:t>
      </w:r>
      <w:r w:rsidRPr="00EF1111">
        <w:rPr>
          <w:rFonts w:ascii="Songti TC" w:hAnsi="Songti TC" w:cs="SimSun"/>
          <w:color w:val="000000"/>
          <w:kern w:val="0"/>
          <w:szCs w:val="21"/>
        </w:rPr>
        <w:t>4.</w:t>
      </w:r>
      <w:r w:rsidRPr="00EF1111">
        <w:rPr>
          <w:rFonts w:ascii="Songti TC" w:hAnsi="Songti TC" w:cs="SimSun"/>
          <w:color w:val="000000"/>
          <w:kern w:val="0"/>
          <w:szCs w:val="21"/>
        </w:rPr>
        <w:t>大量资金流入黄金市场刺激市场更加活跃。</w:t>
      </w:r>
      <w:r>
        <w:rPr>
          <w:rFonts w:ascii="Songti TC" w:hAnsi="Songti TC" w:cs="SimSun" w:hint="eastAsia"/>
          <w:color w:val="000000"/>
          <w:kern w:val="0"/>
          <w:szCs w:val="21"/>
        </w:rPr>
        <w:t>例如，</w:t>
      </w:r>
      <w:r w:rsidRPr="00EF1111">
        <w:rPr>
          <w:rFonts w:ascii="Songti TC" w:hAnsi="Songti TC" w:cs="SimSun"/>
          <w:color w:val="000000"/>
          <w:kern w:val="0"/>
          <w:szCs w:val="21"/>
        </w:rPr>
        <w:t>从年初至今流入黄金</w:t>
      </w:r>
      <w:r w:rsidRPr="00EF1111">
        <w:rPr>
          <w:rFonts w:ascii="Songti TC" w:hAnsi="Songti TC" w:cs="SimSun"/>
          <w:color w:val="000000"/>
          <w:kern w:val="0"/>
          <w:szCs w:val="21"/>
        </w:rPr>
        <w:t>ETF</w:t>
      </w:r>
      <w:r w:rsidRPr="00EF1111">
        <w:rPr>
          <w:rFonts w:ascii="Songti TC" w:hAnsi="Songti TC" w:cs="SimSun"/>
          <w:color w:val="000000"/>
          <w:kern w:val="0"/>
          <w:szCs w:val="21"/>
        </w:rPr>
        <w:t>的资金超过了</w:t>
      </w:r>
      <w:r w:rsidRPr="00EF1111">
        <w:rPr>
          <w:rFonts w:ascii="Songti TC" w:hAnsi="Songti TC" w:cs="SimSun"/>
          <w:color w:val="000000"/>
          <w:kern w:val="0"/>
          <w:szCs w:val="21"/>
        </w:rPr>
        <w:t>2009</w:t>
      </w:r>
      <w:r w:rsidRPr="00EF1111">
        <w:rPr>
          <w:rFonts w:ascii="Songti TC" w:hAnsi="Songti TC" w:cs="SimSun"/>
          <w:color w:val="000000"/>
          <w:kern w:val="0"/>
          <w:szCs w:val="21"/>
        </w:rPr>
        <w:t>年创下的全年总资金纪录。但是从技术分析角度来看，由于黄金</w:t>
      </w:r>
      <w:r w:rsidRPr="00EF1111">
        <w:rPr>
          <w:rFonts w:ascii="Songti TC" w:hAnsi="Songti TC" w:cs="SimSun"/>
          <w:color w:val="000000"/>
          <w:kern w:val="0"/>
          <w:szCs w:val="21"/>
        </w:rPr>
        <w:t>14</w:t>
      </w:r>
      <w:r w:rsidRPr="00EF1111">
        <w:rPr>
          <w:rFonts w:ascii="Songti TC" w:hAnsi="Songti TC" w:cs="SimSun"/>
          <w:color w:val="000000"/>
          <w:kern w:val="0"/>
          <w:szCs w:val="21"/>
        </w:rPr>
        <w:t>日相对强弱指数（</w:t>
      </w:r>
      <w:r w:rsidRPr="00EF1111">
        <w:rPr>
          <w:rFonts w:ascii="Songti TC" w:hAnsi="Songti TC" w:cs="SimSun"/>
          <w:color w:val="000000"/>
          <w:kern w:val="0"/>
          <w:szCs w:val="21"/>
        </w:rPr>
        <w:t>RSI</w:t>
      </w:r>
      <w:r w:rsidRPr="00EF1111">
        <w:rPr>
          <w:rFonts w:ascii="Songti TC" w:hAnsi="Songti TC" w:cs="SimSun"/>
          <w:color w:val="000000"/>
          <w:kern w:val="0"/>
          <w:szCs w:val="21"/>
        </w:rPr>
        <w:t>）守在</w:t>
      </w:r>
      <w:r w:rsidRPr="00EF1111">
        <w:rPr>
          <w:rFonts w:ascii="Songti TC" w:hAnsi="Songti TC" w:cs="SimSun"/>
          <w:color w:val="000000"/>
          <w:kern w:val="0"/>
          <w:szCs w:val="21"/>
        </w:rPr>
        <w:t>70</w:t>
      </w:r>
      <w:r w:rsidRPr="00EF1111">
        <w:rPr>
          <w:rFonts w:ascii="Songti TC" w:hAnsi="Songti TC" w:cs="SimSun"/>
          <w:color w:val="000000"/>
          <w:kern w:val="0"/>
          <w:szCs w:val="21"/>
        </w:rPr>
        <w:t>上方，这明显释放出了超买的信号，导致黄金涨势或许失去动力。因此，黄金投资者更应关注黄金的短期波动。长期来看，若疫情防控效果仍不明显，黄金价格走势可能更加乐观。</w:t>
      </w:r>
    </w:p>
    <w:sectPr w:rsidR="00EF1111" w:rsidRPr="00EF1111">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950AA" w14:textId="77777777" w:rsidR="00EF7845" w:rsidRDefault="00EF7845" w:rsidP="004E7159">
      <w:r>
        <w:separator/>
      </w:r>
    </w:p>
  </w:endnote>
  <w:endnote w:type="continuationSeparator" w:id="0">
    <w:p w14:paraId="539E2E7E" w14:textId="77777777" w:rsidR="00EF7845" w:rsidRDefault="00EF7845" w:rsidP="004E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ongti TC">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59DA1" w14:textId="77777777" w:rsidR="00EF7845" w:rsidRDefault="00EF7845" w:rsidP="004E7159">
      <w:r>
        <w:separator/>
      </w:r>
    </w:p>
  </w:footnote>
  <w:footnote w:type="continuationSeparator" w:id="0">
    <w:p w14:paraId="57BE90C6" w14:textId="77777777" w:rsidR="00EF7845" w:rsidRDefault="00EF7845" w:rsidP="004E7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20F"/>
    <w:rsid w:val="004E7159"/>
    <w:rsid w:val="006A3C2B"/>
    <w:rsid w:val="00B721DE"/>
    <w:rsid w:val="00D0620F"/>
    <w:rsid w:val="00EF1111"/>
    <w:rsid w:val="00EF7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20FF8"/>
  <w15:chartTrackingRefBased/>
  <w15:docId w15:val="{6E3F0129-E707-4EB3-9EC7-609F5290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71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159"/>
    <w:pPr>
      <w:pBdr>
        <w:bottom w:val="single" w:sz="6" w:space="1" w:color="auto"/>
      </w:pBdr>
      <w:tabs>
        <w:tab w:val="center" w:pos="4513"/>
        <w:tab w:val="right" w:pos="9026"/>
      </w:tabs>
      <w:snapToGrid w:val="0"/>
      <w:jc w:val="center"/>
    </w:pPr>
    <w:rPr>
      <w:sz w:val="18"/>
      <w:szCs w:val="18"/>
    </w:rPr>
  </w:style>
  <w:style w:type="character" w:customStyle="1" w:styleId="a4">
    <w:name w:val="页眉 字符"/>
    <w:basedOn w:val="a0"/>
    <w:link w:val="a3"/>
    <w:uiPriority w:val="99"/>
    <w:rsid w:val="004E7159"/>
    <w:rPr>
      <w:sz w:val="18"/>
      <w:szCs w:val="18"/>
    </w:rPr>
  </w:style>
  <w:style w:type="paragraph" w:styleId="a5">
    <w:name w:val="footer"/>
    <w:basedOn w:val="a"/>
    <w:link w:val="a6"/>
    <w:uiPriority w:val="99"/>
    <w:unhideWhenUsed/>
    <w:rsid w:val="004E7159"/>
    <w:pPr>
      <w:tabs>
        <w:tab w:val="center" w:pos="4513"/>
        <w:tab w:val="right" w:pos="9026"/>
      </w:tabs>
      <w:snapToGrid w:val="0"/>
      <w:jc w:val="left"/>
    </w:pPr>
    <w:rPr>
      <w:sz w:val="18"/>
      <w:szCs w:val="18"/>
    </w:rPr>
  </w:style>
  <w:style w:type="character" w:customStyle="1" w:styleId="a6">
    <w:name w:val="页脚 字符"/>
    <w:basedOn w:val="a0"/>
    <w:link w:val="a5"/>
    <w:uiPriority w:val="99"/>
    <w:rsid w:val="004E71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Lingo Tower</dc:creator>
  <cp:keywords/>
  <dc:description/>
  <cp:lastModifiedBy>Lingo Tower</cp:lastModifiedBy>
  <cp:revision>4</cp:revision>
  <dcterms:created xsi:type="dcterms:W3CDTF">2021-03-24T09:54:00Z</dcterms:created>
  <dcterms:modified xsi:type="dcterms:W3CDTF">2021-03-26T15:04:00Z</dcterms:modified>
</cp:coreProperties>
</file>