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95BF9" w14:textId="77777777" w:rsidR="00F0521D" w:rsidRPr="00A8584B" w:rsidRDefault="00F0521D" w:rsidP="00F0521D">
      <w:pPr>
        <w:spacing w:after="0"/>
        <w:jc w:val="both"/>
        <w:rPr>
          <w:rFonts w:ascii="Book Antiqua" w:eastAsia="Book Antiqua" w:hAnsi="Book Antiqua" w:cs="Book Antiqua"/>
          <w:b/>
          <w:color w:val="00000A"/>
          <w:sz w:val="44"/>
          <w:szCs w:val="44"/>
          <w:u w:val="single" w:color="00000A"/>
        </w:rPr>
      </w:pPr>
      <w:r w:rsidRPr="00A8584B">
        <w:rPr>
          <w:rFonts w:ascii="Book Antiqua" w:eastAsia="Book Antiqua" w:hAnsi="Book Antiqua" w:cs="Book Antiqua"/>
          <w:b/>
          <w:noProof/>
          <w:color w:val="00000A"/>
          <w:sz w:val="44"/>
          <w:szCs w:val="44"/>
          <w:u w:color="00000A"/>
        </w:rPr>
        <w:drawing>
          <wp:anchor distT="0" distB="0" distL="114300" distR="114300" simplePos="0" relativeHeight="251659264" behindDoc="0" locked="0" layoutInCell="1" allowOverlap="1" wp14:anchorId="134558C4" wp14:editId="666B0CB3">
            <wp:simplePos x="0" y="0"/>
            <wp:positionH relativeFrom="margin">
              <wp:align>right</wp:align>
            </wp:positionH>
            <wp:positionV relativeFrom="paragraph">
              <wp:posOffset>0</wp:posOffset>
            </wp:positionV>
            <wp:extent cx="1436400" cy="1436400"/>
            <wp:effectExtent l="0" t="0" r="0" b="0"/>
            <wp:wrapTopAndBottom/>
            <wp:docPr id="2" name="Imagen 2" descr="Persona posando con camiseta blan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Persona posando con camiseta blanca&#10;&#10;Descripción generada automáticamente"/>
                    <pic:cNvPicPr/>
                  </pic:nvPicPr>
                  <pic:blipFill>
                    <a:blip r:embed="rId4">
                      <a:extLst>
                        <a:ext uri="{28A0092B-C50C-407E-A947-70E740481C1C}">
                          <a14:useLocalDpi xmlns:a14="http://schemas.microsoft.com/office/drawing/2010/main" val="0"/>
                        </a:ext>
                      </a:extLst>
                    </a:blip>
                    <a:stretch>
                      <a:fillRect/>
                    </a:stretch>
                  </pic:blipFill>
                  <pic:spPr>
                    <a:xfrm>
                      <a:off x="0" y="0"/>
                      <a:ext cx="1436400" cy="1436400"/>
                    </a:xfrm>
                    <a:prstGeom prst="rect">
                      <a:avLst/>
                    </a:prstGeom>
                  </pic:spPr>
                </pic:pic>
              </a:graphicData>
            </a:graphic>
            <wp14:sizeRelH relativeFrom="page">
              <wp14:pctWidth>0</wp14:pctWidth>
            </wp14:sizeRelH>
            <wp14:sizeRelV relativeFrom="page">
              <wp14:pctHeight>0</wp14:pctHeight>
            </wp14:sizeRelV>
          </wp:anchor>
        </w:drawing>
      </w:r>
      <w:r w:rsidRPr="00A8584B">
        <w:rPr>
          <w:rFonts w:ascii="Book Antiqua" w:eastAsia="Book Antiqua" w:hAnsi="Book Antiqua" w:cs="Book Antiqua"/>
          <w:b/>
          <w:color w:val="00000A"/>
          <w:sz w:val="44"/>
          <w:szCs w:val="44"/>
          <w:u w:val="single" w:color="00000A"/>
        </w:rPr>
        <w:t>Fernando Daniel Ducasse</w:t>
      </w:r>
    </w:p>
    <w:p w14:paraId="071A345B" w14:textId="77777777" w:rsidR="00F0521D" w:rsidRDefault="00F0521D" w:rsidP="00F0521D">
      <w:pPr>
        <w:spacing w:after="148"/>
        <w:ind w:left="708"/>
        <w:rPr>
          <w:rFonts w:ascii="Book Antiqua" w:eastAsia="Book Antiqua" w:hAnsi="Book Antiqua" w:cs="Book Antiqua"/>
          <w:b/>
          <w:color w:val="00000A"/>
          <w:sz w:val="28"/>
        </w:rPr>
      </w:pPr>
    </w:p>
    <w:p w14:paraId="0CBB9250" w14:textId="0F122562" w:rsidR="00A8584B" w:rsidRPr="005938B2" w:rsidRDefault="00702F7B" w:rsidP="005938B2">
      <w:pPr>
        <w:spacing w:after="148" w:line="360" w:lineRule="auto"/>
        <w:rPr>
          <w:sz w:val="28"/>
          <w:szCs w:val="28"/>
        </w:rPr>
      </w:pPr>
      <w:r w:rsidRPr="00A8584B">
        <w:rPr>
          <w:rFonts w:ascii="Book Antiqua" w:eastAsia="Book Antiqua" w:hAnsi="Book Antiqua" w:cs="Book Antiqua"/>
          <w:b/>
          <w:color w:val="00000A"/>
          <w:sz w:val="28"/>
          <w:szCs w:val="28"/>
        </w:rPr>
        <w:t>Phone number</w:t>
      </w:r>
      <w:r w:rsidRPr="00A8584B">
        <w:rPr>
          <w:rFonts w:ascii="Book Antiqua" w:eastAsia="Book Antiqua" w:hAnsi="Book Antiqua" w:cs="Book Antiqua"/>
          <w:color w:val="00000A"/>
          <w:sz w:val="28"/>
          <w:szCs w:val="28"/>
        </w:rPr>
        <w:t xml:space="preserve">: 54 9 11 </w:t>
      </w:r>
      <w:r w:rsidR="00331B91" w:rsidRPr="00331B91">
        <w:rPr>
          <w:rFonts w:ascii="Book Antiqua" w:eastAsia="Book Antiqua" w:hAnsi="Book Antiqua" w:cs="Book Antiqua"/>
          <w:color w:val="00000A"/>
          <w:sz w:val="28"/>
          <w:szCs w:val="28"/>
        </w:rPr>
        <w:t>4027 3364</w:t>
      </w:r>
      <w:r w:rsidR="00331B91">
        <w:rPr>
          <w:rFonts w:ascii="Book Antiqua" w:eastAsia="Book Antiqua" w:hAnsi="Book Antiqua" w:cs="Book Antiqua"/>
          <w:color w:val="00000A"/>
          <w:sz w:val="27"/>
          <w:szCs w:val="27"/>
        </w:rPr>
        <w:t xml:space="preserve"> </w:t>
      </w:r>
      <w:r w:rsidR="00331B91">
        <w:rPr>
          <w:sz w:val="27"/>
          <w:szCs w:val="27"/>
        </w:rPr>
        <w:t xml:space="preserve"> </w:t>
      </w:r>
      <w:r w:rsidRPr="00A8584B">
        <w:rPr>
          <w:sz w:val="28"/>
          <w:szCs w:val="28"/>
        </w:rPr>
        <w:br/>
      </w:r>
      <w:r w:rsidRPr="00A8584B">
        <w:rPr>
          <w:rFonts w:ascii="Book Antiqua" w:eastAsia="Book Antiqua" w:hAnsi="Book Antiqua" w:cs="Book Antiqua"/>
          <w:b/>
          <w:color w:val="00000A"/>
          <w:sz w:val="28"/>
          <w:szCs w:val="28"/>
        </w:rPr>
        <w:t>E-mail address:</w:t>
      </w:r>
      <w:r w:rsidRPr="00A8584B">
        <w:rPr>
          <w:rFonts w:ascii="Book Antiqua" w:eastAsia="Book Antiqua" w:hAnsi="Book Antiqua" w:cs="Book Antiqua"/>
          <w:color w:val="00000A"/>
          <w:sz w:val="28"/>
          <w:szCs w:val="28"/>
        </w:rPr>
        <w:t xml:space="preserve"> </w:t>
      </w:r>
      <w:r w:rsidRPr="00A8584B">
        <w:rPr>
          <w:rFonts w:ascii="Book Antiqua" w:eastAsia="Book Antiqua" w:hAnsi="Book Antiqua" w:cs="Book Antiqua"/>
          <w:color w:val="0563C1"/>
          <w:sz w:val="28"/>
          <w:szCs w:val="28"/>
          <w:u w:val="single" w:color="0563C1"/>
        </w:rPr>
        <w:t>fernando_ducasse@hotmail.com.ar</w:t>
      </w:r>
      <w:r w:rsidRPr="00A8584B">
        <w:rPr>
          <w:color w:val="00000A"/>
          <w:sz w:val="28"/>
          <w:szCs w:val="28"/>
        </w:rPr>
        <w:t xml:space="preserve"> </w:t>
      </w:r>
      <w:r w:rsidRPr="00A8584B">
        <w:rPr>
          <w:sz w:val="28"/>
          <w:szCs w:val="28"/>
        </w:rPr>
        <w:t xml:space="preserve"> </w:t>
      </w:r>
      <w:r w:rsidRPr="00A8584B">
        <w:rPr>
          <w:sz w:val="28"/>
          <w:szCs w:val="28"/>
        </w:rPr>
        <w:br/>
      </w:r>
      <w:r w:rsidRPr="00A8584B">
        <w:rPr>
          <w:rFonts w:ascii="Book Antiqua" w:eastAsia="Book Antiqua" w:hAnsi="Book Antiqua" w:cs="Book Antiqua"/>
          <w:b/>
          <w:color w:val="00000A"/>
          <w:sz w:val="28"/>
          <w:szCs w:val="28"/>
        </w:rPr>
        <w:t>Services:</w:t>
      </w:r>
      <w:r w:rsidRPr="00A8584B">
        <w:rPr>
          <w:rFonts w:ascii="Book Antiqua" w:eastAsia="Book Antiqua" w:hAnsi="Book Antiqua" w:cs="Book Antiqua"/>
          <w:color w:val="00000A"/>
          <w:sz w:val="28"/>
          <w:szCs w:val="28"/>
        </w:rPr>
        <w:t xml:space="preserve"> translation, editing/proofreading.</w:t>
      </w:r>
      <w:r w:rsidRPr="00A8584B">
        <w:rPr>
          <w:rFonts w:ascii="Book Antiqua" w:eastAsia="Book Antiqua" w:hAnsi="Book Antiqua" w:cs="Book Antiqua"/>
          <w:color w:val="00000A"/>
          <w:sz w:val="28"/>
          <w:szCs w:val="28"/>
        </w:rPr>
        <w:br/>
      </w:r>
      <w:r w:rsidRPr="00A8584B">
        <w:rPr>
          <w:rFonts w:ascii="Book Antiqua" w:eastAsia="Book Antiqua" w:hAnsi="Book Antiqua" w:cs="Book Antiqua"/>
          <w:b/>
          <w:color w:val="00000A"/>
          <w:sz w:val="28"/>
          <w:szCs w:val="28"/>
        </w:rPr>
        <w:t>Education:</w:t>
      </w:r>
      <w:r w:rsidRPr="00A8584B">
        <w:rPr>
          <w:rFonts w:ascii="Book Antiqua" w:eastAsia="Book Antiqua" w:hAnsi="Book Antiqua" w:cs="Book Antiqua"/>
          <w:color w:val="00000A"/>
          <w:sz w:val="28"/>
          <w:szCs w:val="28"/>
        </w:rPr>
        <w:t xml:space="preserve"> Bachelor’s Degree: Sworn translator (French/Spanish)</w:t>
      </w:r>
      <w:r w:rsidR="005938B2">
        <w:rPr>
          <w:rFonts w:ascii="Book Antiqua" w:eastAsia="Book Antiqua" w:hAnsi="Book Antiqua" w:cs="Book Antiqua"/>
          <w:color w:val="00000A"/>
          <w:sz w:val="28"/>
          <w:szCs w:val="28"/>
        </w:rPr>
        <w:br/>
        <w:t xml:space="preserve">                     </w:t>
      </w:r>
      <w:r w:rsidRPr="00A8584B">
        <w:rPr>
          <w:rFonts w:ascii="Book Antiqua" w:eastAsia="Book Antiqua" w:hAnsi="Book Antiqua" w:cs="Book Antiqua"/>
          <w:color w:val="00000A"/>
          <w:sz w:val="28"/>
          <w:szCs w:val="28"/>
        </w:rPr>
        <w:t>University</w:t>
      </w:r>
      <w:r w:rsidR="005938B2">
        <w:rPr>
          <w:rFonts w:ascii="Book Antiqua" w:eastAsia="Book Antiqua" w:hAnsi="Book Antiqua" w:cs="Book Antiqua"/>
          <w:color w:val="00000A"/>
          <w:sz w:val="28"/>
          <w:szCs w:val="28"/>
        </w:rPr>
        <w:t xml:space="preserve"> </w:t>
      </w:r>
      <w:r w:rsidRPr="00A8584B">
        <w:rPr>
          <w:rFonts w:ascii="Book Antiqua" w:eastAsia="Book Antiqua" w:hAnsi="Book Antiqua" w:cs="Book Antiqua"/>
          <w:color w:val="00000A"/>
          <w:sz w:val="28"/>
          <w:szCs w:val="28"/>
        </w:rPr>
        <w:t>of Buenos Aires (</w:t>
      </w:r>
      <w:r w:rsidRPr="00A8584B">
        <w:rPr>
          <w:rFonts w:ascii="Book Antiqua" w:eastAsia="Book Antiqua" w:hAnsi="Book Antiqua" w:cs="Book Antiqua"/>
          <w:b/>
          <w:color w:val="00000A"/>
          <w:sz w:val="28"/>
          <w:szCs w:val="28"/>
        </w:rPr>
        <w:t>Grade Point Average:</w:t>
      </w:r>
      <w:r w:rsidRPr="00A8584B">
        <w:rPr>
          <w:rFonts w:ascii="Book Antiqua" w:eastAsia="Book Antiqua" w:hAnsi="Book Antiqua" w:cs="Book Antiqua"/>
          <w:color w:val="00000A"/>
          <w:sz w:val="28"/>
          <w:szCs w:val="28"/>
        </w:rPr>
        <w:t xml:space="preserve"> 7,56/10).</w:t>
      </w:r>
      <w:r w:rsidRPr="00A8584B">
        <w:rPr>
          <w:rFonts w:ascii="Book Antiqua" w:eastAsia="Book Antiqua" w:hAnsi="Book Antiqua" w:cs="Book Antiqua"/>
          <w:color w:val="00000A"/>
          <w:sz w:val="28"/>
          <w:szCs w:val="28"/>
        </w:rPr>
        <w:br/>
        <w:t xml:space="preserve">                     Postgraduate in notarial law - </w:t>
      </w:r>
      <w:r w:rsidRPr="00A8584B">
        <w:rPr>
          <w:rFonts w:ascii="Book Antiqua" w:hAnsi="Book Antiqua"/>
          <w:noProof/>
          <w:sz w:val="28"/>
          <w:szCs w:val="28"/>
        </w:rPr>
        <w:t xml:space="preserve">Postgraduate departement of </w:t>
      </w:r>
      <w:r w:rsidR="00A8584B" w:rsidRPr="00A8584B">
        <w:rPr>
          <w:rFonts w:ascii="Book Antiqua" w:hAnsi="Book Antiqua"/>
          <w:noProof/>
          <w:sz w:val="28"/>
          <w:szCs w:val="28"/>
        </w:rPr>
        <w:br/>
        <w:t xml:space="preserve">                     </w:t>
      </w:r>
      <w:r w:rsidRPr="00A8584B">
        <w:rPr>
          <w:rFonts w:ascii="Book Antiqua" w:hAnsi="Book Antiqua"/>
          <w:noProof/>
          <w:sz w:val="28"/>
          <w:szCs w:val="28"/>
        </w:rPr>
        <w:t>UBA’s Law School</w:t>
      </w:r>
      <w:r w:rsidR="00A8584B" w:rsidRPr="00A8584B">
        <w:rPr>
          <w:rFonts w:ascii="Book Antiqua" w:hAnsi="Book Antiqua"/>
          <w:noProof/>
          <w:sz w:val="28"/>
          <w:szCs w:val="28"/>
        </w:rPr>
        <w:t xml:space="preserve"> </w:t>
      </w:r>
      <w:r w:rsidR="00A8584B" w:rsidRPr="00A8584B">
        <w:rPr>
          <w:rFonts w:ascii="Book Antiqua" w:eastAsia="Book Antiqua" w:hAnsi="Book Antiqua" w:cs="Book Antiqua"/>
          <w:color w:val="00000A"/>
          <w:sz w:val="28"/>
          <w:szCs w:val="28"/>
        </w:rPr>
        <w:t>(</w:t>
      </w:r>
      <w:r w:rsidR="00A8584B" w:rsidRPr="00A8584B">
        <w:rPr>
          <w:rFonts w:ascii="Book Antiqua" w:eastAsia="Book Antiqua" w:hAnsi="Book Antiqua" w:cs="Book Antiqua"/>
          <w:b/>
          <w:color w:val="00000A"/>
          <w:sz w:val="28"/>
          <w:szCs w:val="28"/>
        </w:rPr>
        <w:t>Grade Point Average:</w:t>
      </w:r>
      <w:r w:rsidR="00A8584B" w:rsidRPr="00A8584B">
        <w:rPr>
          <w:rFonts w:ascii="Book Antiqua" w:eastAsia="Book Antiqua" w:hAnsi="Book Antiqua" w:cs="Book Antiqua"/>
          <w:color w:val="00000A"/>
          <w:sz w:val="28"/>
          <w:szCs w:val="28"/>
        </w:rPr>
        <w:t xml:space="preserve"> 8,25/10).</w:t>
      </w:r>
      <w:r w:rsidRPr="00A8584B">
        <w:rPr>
          <w:rFonts w:ascii="Book Antiqua" w:eastAsia="Book Antiqua" w:hAnsi="Book Antiqua" w:cs="Book Antiqua"/>
          <w:color w:val="00000A"/>
          <w:sz w:val="28"/>
          <w:szCs w:val="28"/>
        </w:rPr>
        <w:br/>
      </w:r>
      <w:r w:rsidRPr="00A8584B">
        <w:rPr>
          <w:rFonts w:ascii="Book Antiqua" w:eastAsia="Book Antiqua" w:hAnsi="Book Antiqua" w:cs="Book Antiqua"/>
          <w:b/>
          <w:color w:val="00000A"/>
          <w:sz w:val="28"/>
          <w:szCs w:val="28"/>
        </w:rPr>
        <w:t>Native language:</w:t>
      </w:r>
      <w:r w:rsidRPr="00A8584B">
        <w:rPr>
          <w:rFonts w:ascii="Book Antiqua" w:eastAsia="Book Antiqua" w:hAnsi="Book Antiqua" w:cs="Book Antiqua"/>
          <w:color w:val="00000A"/>
          <w:sz w:val="28"/>
          <w:szCs w:val="28"/>
        </w:rPr>
        <w:t xml:space="preserve"> Spanish  </w:t>
      </w:r>
      <w:r w:rsidRPr="00A8584B">
        <w:rPr>
          <w:sz w:val="28"/>
          <w:szCs w:val="28"/>
        </w:rPr>
        <w:br/>
      </w:r>
      <w:r w:rsidRPr="00A8584B">
        <w:rPr>
          <w:rFonts w:ascii="Book Antiqua" w:eastAsia="Book Antiqua" w:hAnsi="Book Antiqua" w:cs="Book Antiqua"/>
          <w:b/>
          <w:color w:val="00000A"/>
          <w:sz w:val="28"/>
          <w:szCs w:val="28"/>
        </w:rPr>
        <w:t>Languages pairs:</w:t>
      </w:r>
      <w:r w:rsidRPr="00A8584B">
        <w:rPr>
          <w:rFonts w:ascii="Book Antiqua" w:eastAsia="Book Antiqua" w:hAnsi="Book Antiqua" w:cs="Book Antiqua"/>
          <w:color w:val="00000A"/>
          <w:sz w:val="28"/>
          <w:szCs w:val="28"/>
        </w:rPr>
        <w:t xml:space="preserve"> French &lt; &gt; Spanish ; Italian &lt; &gt; Spanish.  </w:t>
      </w:r>
      <w:r w:rsidRPr="00A8584B">
        <w:rPr>
          <w:sz w:val="28"/>
          <w:szCs w:val="28"/>
        </w:rPr>
        <w:t xml:space="preserve"> </w:t>
      </w:r>
      <w:r w:rsidRPr="00A8584B">
        <w:rPr>
          <w:sz w:val="28"/>
          <w:szCs w:val="28"/>
        </w:rPr>
        <w:br/>
      </w:r>
      <w:r w:rsidRPr="00A8584B">
        <w:rPr>
          <w:rFonts w:ascii="Book Antiqua" w:eastAsia="Book Antiqua" w:hAnsi="Book Antiqua" w:cs="Book Antiqua"/>
          <w:b/>
          <w:color w:val="00000A"/>
          <w:sz w:val="28"/>
          <w:szCs w:val="28"/>
        </w:rPr>
        <w:t>Software:</w:t>
      </w:r>
      <w:r w:rsidRPr="00A8584B">
        <w:rPr>
          <w:rFonts w:ascii="Book Antiqua" w:eastAsia="Book Antiqua" w:hAnsi="Book Antiqua" w:cs="Book Antiqua"/>
          <w:color w:val="00000A"/>
          <w:sz w:val="28"/>
          <w:szCs w:val="28"/>
        </w:rPr>
        <w:t xml:space="preserve"> SDL Trados, MemoQ, MS Word, MS Excel, MS PPT, Xbench.  </w:t>
      </w:r>
      <w:r w:rsidRPr="00A8584B">
        <w:rPr>
          <w:sz w:val="28"/>
          <w:szCs w:val="28"/>
        </w:rPr>
        <w:br/>
      </w:r>
      <w:r w:rsidRPr="00A8584B">
        <w:rPr>
          <w:rFonts w:ascii="Book Antiqua" w:eastAsia="Book Antiqua" w:hAnsi="Book Antiqua" w:cs="Book Antiqua"/>
          <w:b/>
          <w:color w:val="00000A"/>
          <w:sz w:val="28"/>
          <w:szCs w:val="28"/>
        </w:rPr>
        <w:t>Words translated per day:</w:t>
      </w:r>
      <w:r w:rsidRPr="00A8584B">
        <w:rPr>
          <w:rFonts w:ascii="Book Antiqua" w:eastAsia="Book Antiqua" w:hAnsi="Book Antiqua" w:cs="Book Antiqua"/>
          <w:color w:val="00000A"/>
          <w:sz w:val="28"/>
          <w:szCs w:val="28"/>
        </w:rPr>
        <w:t xml:space="preserve"> 3,500 words.  </w:t>
      </w:r>
      <w:r w:rsidRPr="00A8584B">
        <w:rPr>
          <w:sz w:val="28"/>
          <w:szCs w:val="28"/>
        </w:rPr>
        <w:br/>
      </w:r>
      <w:r w:rsidRPr="00A8584B">
        <w:rPr>
          <w:rFonts w:ascii="Book Antiqua" w:eastAsia="Book Antiqua" w:hAnsi="Book Antiqua" w:cs="Book Antiqua"/>
          <w:b/>
          <w:color w:val="00000A"/>
          <w:sz w:val="28"/>
          <w:szCs w:val="28"/>
        </w:rPr>
        <w:t>Member of:</w:t>
      </w:r>
      <w:r w:rsidRPr="00A8584B">
        <w:rPr>
          <w:rFonts w:ascii="Book Antiqua" w:eastAsia="Book Antiqua" w:hAnsi="Book Antiqua" w:cs="Book Antiqua"/>
          <w:color w:val="00000A"/>
          <w:sz w:val="28"/>
          <w:szCs w:val="28"/>
        </w:rPr>
        <w:t xml:space="preserve"> CTPCBA. </w:t>
      </w:r>
      <w:r w:rsidRPr="00A8584B">
        <w:rPr>
          <w:rFonts w:ascii="Book Antiqua" w:eastAsia="Book Antiqua" w:hAnsi="Book Antiqua" w:cs="Book Antiqua"/>
          <w:color w:val="00000A"/>
          <w:sz w:val="28"/>
          <w:szCs w:val="28"/>
        </w:rPr>
        <w:br/>
      </w:r>
      <w:r w:rsidRPr="00A8584B">
        <w:rPr>
          <w:rFonts w:ascii="Book Antiqua" w:eastAsia="Book Antiqua" w:hAnsi="Book Antiqua" w:cs="Book Antiqua"/>
          <w:b/>
          <w:color w:val="00000A"/>
          <w:sz w:val="28"/>
          <w:szCs w:val="28"/>
        </w:rPr>
        <w:t xml:space="preserve">FR&gt;SP Sr. Reviewer at Translators Without Borders. </w:t>
      </w:r>
      <w:r w:rsidR="00A8584B" w:rsidRPr="00A8584B">
        <w:rPr>
          <w:rFonts w:ascii="Book Antiqua" w:eastAsia="Book Antiqua" w:hAnsi="Book Antiqua" w:cs="Book Antiqua"/>
          <w:b/>
          <w:color w:val="00000A"/>
          <w:sz w:val="28"/>
          <w:szCs w:val="28"/>
        </w:rPr>
        <w:br/>
        <w:t>Specialization fields</w:t>
      </w:r>
      <w:r w:rsidR="00F0521D" w:rsidRPr="00A8584B">
        <w:rPr>
          <w:rFonts w:ascii="Book Antiqua" w:eastAsia="Book Antiqua" w:hAnsi="Book Antiqua" w:cs="Book Antiqua"/>
          <w:b/>
          <w:color w:val="00000A"/>
          <w:sz w:val="28"/>
          <w:szCs w:val="28"/>
        </w:rPr>
        <w:t xml:space="preserve">: </w:t>
      </w:r>
      <w:r w:rsidR="00A8584B" w:rsidRPr="00A8584B">
        <w:rPr>
          <w:rFonts w:ascii="Book Antiqua" w:eastAsia="Book Antiqua" w:hAnsi="Book Antiqua" w:cs="Book Antiqua"/>
          <w:bCs/>
          <w:color w:val="00000A"/>
          <w:sz w:val="28"/>
          <w:szCs w:val="28"/>
        </w:rPr>
        <w:t>law/legal,</w:t>
      </w:r>
      <w:r w:rsidR="00A8584B" w:rsidRPr="00A8584B">
        <w:rPr>
          <w:rFonts w:ascii="Book Antiqua" w:eastAsia="Book Antiqua" w:hAnsi="Book Antiqua" w:cs="Book Antiqua"/>
          <w:b/>
          <w:color w:val="00000A"/>
          <w:sz w:val="28"/>
          <w:szCs w:val="28"/>
        </w:rPr>
        <w:t xml:space="preserve"> </w:t>
      </w:r>
      <w:r w:rsidR="00A8584B" w:rsidRPr="00A8584B">
        <w:rPr>
          <w:rFonts w:ascii="Book Antiqua" w:eastAsia="Book Antiqua" w:hAnsi="Book Antiqua" w:cs="Book Antiqua"/>
          <w:bCs/>
          <w:color w:val="00000A"/>
          <w:sz w:val="28"/>
          <w:szCs w:val="28"/>
        </w:rPr>
        <w:t xml:space="preserve">mechanics, pharma, oenology, human </w:t>
      </w:r>
      <w:r w:rsidR="005938B2" w:rsidRPr="00A8584B">
        <w:rPr>
          <w:rFonts w:ascii="Book Antiqua" w:eastAsia="Book Antiqua" w:hAnsi="Book Antiqua" w:cs="Book Antiqua"/>
          <w:bCs/>
          <w:color w:val="00000A"/>
          <w:sz w:val="28"/>
          <w:szCs w:val="28"/>
        </w:rPr>
        <w:t>resources</w:t>
      </w:r>
      <w:r w:rsidR="00A8584B" w:rsidRPr="00A8584B">
        <w:rPr>
          <w:rFonts w:ascii="Book Antiqua" w:eastAsia="Book Antiqua" w:hAnsi="Book Antiqua" w:cs="Book Antiqua"/>
          <w:bCs/>
          <w:color w:val="00000A"/>
          <w:sz w:val="28"/>
          <w:szCs w:val="28"/>
        </w:rPr>
        <w:t>.</w:t>
      </w:r>
    </w:p>
    <w:p w14:paraId="30CEFF7E" w14:textId="3CF26259" w:rsidR="000D52B4" w:rsidRPr="005938B2" w:rsidRDefault="00A8584B" w:rsidP="005938B2">
      <w:pPr>
        <w:spacing w:after="148"/>
        <w:rPr>
          <w:rFonts w:ascii="Book Antiqua" w:eastAsia="Book Antiqua" w:hAnsi="Book Antiqua" w:cs="Book Antiqua"/>
          <w:b/>
          <w:color w:val="00000A"/>
          <w:sz w:val="28"/>
          <w:szCs w:val="20"/>
        </w:rPr>
      </w:pPr>
      <w:r>
        <w:rPr>
          <w:rFonts w:ascii="Book Antiqua" w:eastAsia="Book Antiqua" w:hAnsi="Book Antiqua" w:cs="Book Antiqua"/>
          <w:b/>
          <w:color w:val="00000A"/>
          <w:sz w:val="26"/>
          <w:szCs w:val="26"/>
        </w:rPr>
        <w:br w:type="page"/>
      </w:r>
      <w:r w:rsidR="005938B2" w:rsidRPr="005938B2">
        <w:rPr>
          <w:rFonts w:ascii="Book Antiqua" w:eastAsia="Book Antiqua" w:hAnsi="Book Antiqua" w:cs="Book Antiqua"/>
          <w:b/>
          <w:color w:val="00000A"/>
          <w:sz w:val="28"/>
          <w:szCs w:val="20"/>
        </w:rPr>
        <w:lastRenderedPageBreak/>
        <w:t>Conferences and congresses attended and courses:</w:t>
      </w:r>
      <w:r w:rsidR="005938B2" w:rsidRPr="005938B2">
        <w:rPr>
          <w:color w:val="00000A"/>
          <w:szCs w:val="20"/>
        </w:rPr>
        <w:t xml:space="preserve"> </w:t>
      </w:r>
      <w:r w:rsidR="005938B2" w:rsidRPr="005938B2">
        <w:rPr>
          <w:szCs w:val="20"/>
        </w:rPr>
        <w:t xml:space="preserve"> </w:t>
      </w:r>
      <w:r w:rsidR="000D52B4" w:rsidRPr="005938B2">
        <w:rPr>
          <w:color w:val="00000A"/>
          <w:sz w:val="20"/>
          <w:szCs w:val="20"/>
        </w:rPr>
        <w:t xml:space="preserve"> </w:t>
      </w:r>
      <w:r w:rsidR="000D52B4" w:rsidRPr="005938B2">
        <w:rPr>
          <w:sz w:val="20"/>
          <w:szCs w:val="20"/>
        </w:rPr>
        <w:t xml:space="preserve"> </w:t>
      </w:r>
    </w:p>
    <w:tbl>
      <w:tblPr>
        <w:tblW w:w="9280" w:type="dxa"/>
        <w:tblCellMar>
          <w:left w:w="70" w:type="dxa"/>
          <w:right w:w="70" w:type="dxa"/>
        </w:tblCellMar>
        <w:tblLook w:val="04A0" w:firstRow="1" w:lastRow="0" w:firstColumn="1" w:lastColumn="0" w:noHBand="0" w:noVBand="1"/>
      </w:tblPr>
      <w:tblGrid>
        <w:gridCol w:w="5180"/>
        <w:gridCol w:w="2900"/>
        <w:gridCol w:w="1200"/>
      </w:tblGrid>
      <w:tr w:rsidR="000D52B4" w:rsidRPr="000D52B4" w14:paraId="1D951C7B" w14:textId="77777777" w:rsidTr="000D52B4">
        <w:trPr>
          <w:trHeight w:val="300"/>
        </w:trPr>
        <w:tc>
          <w:tcPr>
            <w:tcW w:w="5180" w:type="dxa"/>
            <w:tcBorders>
              <w:top w:val="single" w:sz="4" w:space="0" w:color="auto"/>
              <w:left w:val="single" w:sz="4" w:space="0" w:color="auto"/>
              <w:bottom w:val="single" w:sz="4" w:space="0" w:color="auto"/>
              <w:right w:val="single" w:sz="4" w:space="0" w:color="auto"/>
            </w:tcBorders>
            <w:shd w:val="clear" w:color="000000" w:fill="8497B0"/>
            <w:noWrap/>
            <w:vAlign w:val="bottom"/>
            <w:hideMark/>
          </w:tcPr>
          <w:p w14:paraId="07DED5F1" w14:textId="7F42B571" w:rsidR="000D52B4" w:rsidRPr="008A3DDE" w:rsidRDefault="005938B2" w:rsidP="000D52B4">
            <w:pPr>
              <w:spacing w:after="0" w:line="240" w:lineRule="auto"/>
              <w:jc w:val="center"/>
              <w:rPr>
                <w:rFonts w:eastAsia="Times New Roman"/>
                <w:b/>
                <w:bCs/>
              </w:rPr>
            </w:pPr>
            <w:r w:rsidRPr="008A3DDE">
              <w:rPr>
                <w:rFonts w:eastAsia="Times New Roman"/>
                <w:b/>
                <w:bCs/>
              </w:rPr>
              <w:t>Description</w:t>
            </w:r>
          </w:p>
        </w:tc>
        <w:tc>
          <w:tcPr>
            <w:tcW w:w="2900" w:type="dxa"/>
            <w:tcBorders>
              <w:top w:val="single" w:sz="4" w:space="0" w:color="auto"/>
              <w:left w:val="nil"/>
              <w:bottom w:val="single" w:sz="4" w:space="0" w:color="auto"/>
              <w:right w:val="single" w:sz="4" w:space="0" w:color="auto"/>
            </w:tcBorders>
            <w:shd w:val="clear" w:color="000000" w:fill="8497B0"/>
            <w:noWrap/>
            <w:vAlign w:val="bottom"/>
            <w:hideMark/>
          </w:tcPr>
          <w:p w14:paraId="0AC22D29" w14:textId="016781BD" w:rsidR="000D52B4" w:rsidRPr="008A3DDE" w:rsidRDefault="005938B2" w:rsidP="000D52B4">
            <w:pPr>
              <w:spacing w:after="0" w:line="240" w:lineRule="auto"/>
              <w:jc w:val="center"/>
              <w:rPr>
                <w:rFonts w:eastAsia="Times New Roman"/>
                <w:b/>
                <w:bCs/>
              </w:rPr>
            </w:pPr>
            <w:r w:rsidRPr="008A3DDE">
              <w:rPr>
                <w:rFonts w:eastAsia="Times New Roman"/>
                <w:b/>
                <w:bCs/>
              </w:rPr>
              <w:t>Institution</w:t>
            </w:r>
          </w:p>
        </w:tc>
        <w:tc>
          <w:tcPr>
            <w:tcW w:w="1200" w:type="dxa"/>
            <w:tcBorders>
              <w:top w:val="single" w:sz="4" w:space="0" w:color="auto"/>
              <w:left w:val="nil"/>
              <w:bottom w:val="single" w:sz="4" w:space="0" w:color="auto"/>
              <w:right w:val="single" w:sz="4" w:space="0" w:color="auto"/>
            </w:tcBorders>
            <w:shd w:val="clear" w:color="000000" w:fill="8497B0"/>
            <w:noWrap/>
            <w:vAlign w:val="bottom"/>
            <w:hideMark/>
          </w:tcPr>
          <w:p w14:paraId="564B309F" w14:textId="4D56352C" w:rsidR="000D52B4" w:rsidRPr="000D52B4" w:rsidRDefault="005938B2" w:rsidP="000D52B4">
            <w:pPr>
              <w:spacing w:after="0" w:line="240" w:lineRule="auto"/>
              <w:jc w:val="center"/>
              <w:rPr>
                <w:rFonts w:eastAsia="Times New Roman"/>
                <w:b/>
                <w:bCs/>
              </w:rPr>
            </w:pPr>
            <w:r>
              <w:rPr>
                <w:rFonts w:eastAsia="Times New Roman"/>
                <w:b/>
                <w:bCs/>
              </w:rPr>
              <w:t>Year</w:t>
            </w:r>
          </w:p>
        </w:tc>
      </w:tr>
      <w:tr w:rsidR="000D52B4" w:rsidRPr="000D52B4" w14:paraId="52D390A1" w14:textId="77777777" w:rsidTr="000D52B4">
        <w:trPr>
          <w:trHeight w:val="300"/>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7C72508E" w14:textId="77777777" w:rsidR="000D52B4" w:rsidRPr="008A3DDE" w:rsidRDefault="000D52B4" w:rsidP="000D52B4">
            <w:pPr>
              <w:spacing w:after="0" w:line="240" w:lineRule="auto"/>
              <w:rPr>
                <w:rFonts w:eastAsia="Times New Roman"/>
                <w:i/>
                <w:iCs/>
                <w:color w:val="00000A"/>
              </w:rPr>
            </w:pPr>
            <w:r w:rsidRPr="008A3DDE">
              <w:rPr>
                <w:rFonts w:eastAsia="Times New Roman"/>
                <w:i/>
                <w:iCs/>
                <w:color w:val="00000A"/>
              </w:rPr>
              <w:t xml:space="preserve">Formation sur le Certificat successoral européen (CSE) </w:t>
            </w:r>
          </w:p>
        </w:tc>
        <w:tc>
          <w:tcPr>
            <w:tcW w:w="2900" w:type="dxa"/>
            <w:tcBorders>
              <w:top w:val="nil"/>
              <w:left w:val="nil"/>
              <w:bottom w:val="single" w:sz="4" w:space="0" w:color="auto"/>
              <w:right w:val="single" w:sz="4" w:space="0" w:color="auto"/>
            </w:tcBorders>
            <w:shd w:val="clear" w:color="auto" w:fill="auto"/>
            <w:noWrap/>
            <w:vAlign w:val="bottom"/>
            <w:hideMark/>
          </w:tcPr>
          <w:p w14:paraId="4889486E" w14:textId="77777777" w:rsidR="000D52B4" w:rsidRPr="008A3DDE" w:rsidRDefault="000D52B4" w:rsidP="000D52B4">
            <w:pPr>
              <w:spacing w:after="0" w:line="240" w:lineRule="auto"/>
              <w:rPr>
                <w:rFonts w:eastAsia="Times New Roman"/>
                <w:i/>
                <w:iCs/>
              </w:rPr>
            </w:pPr>
            <w:r w:rsidRPr="008A3DDE">
              <w:rPr>
                <w:rFonts w:eastAsia="Times New Roman"/>
                <w:i/>
                <w:iCs/>
              </w:rPr>
              <w:t>Conseil Supérieur du Notariat</w:t>
            </w:r>
          </w:p>
        </w:tc>
        <w:tc>
          <w:tcPr>
            <w:tcW w:w="1200" w:type="dxa"/>
            <w:tcBorders>
              <w:top w:val="nil"/>
              <w:left w:val="nil"/>
              <w:bottom w:val="single" w:sz="4" w:space="0" w:color="auto"/>
              <w:right w:val="single" w:sz="4" w:space="0" w:color="auto"/>
            </w:tcBorders>
            <w:shd w:val="clear" w:color="auto" w:fill="auto"/>
            <w:noWrap/>
            <w:vAlign w:val="bottom"/>
            <w:hideMark/>
          </w:tcPr>
          <w:p w14:paraId="55AC6CB7" w14:textId="77777777" w:rsidR="000D52B4" w:rsidRPr="000D52B4" w:rsidRDefault="000D52B4" w:rsidP="000D52B4">
            <w:pPr>
              <w:spacing w:after="0" w:line="240" w:lineRule="auto"/>
              <w:jc w:val="right"/>
              <w:rPr>
                <w:rFonts w:eastAsia="Times New Roman"/>
              </w:rPr>
            </w:pPr>
            <w:r w:rsidRPr="000D52B4">
              <w:rPr>
                <w:rFonts w:eastAsia="Times New Roman"/>
              </w:rPr>
              <w:t>2020</w:t>
            </w:r>
          </w:p>
        </w:tc>
      </w:tr>
      <w:tr w:rsidR="000D52B4" w:rsidRPr="000D52B4" w14:paraId="6DB1611E" w14:textId="77777777" w:rsidTr="000D52B4">
        <w:trPr>
          <w:trHeight w:val="900"/>
        </w:trPr>
        <w:tc>
          <w:tcPr>
            <w:tcW w:w="5180" w:type="dxa"/>
            <w:tcBorders>
              <w:top w:val="nil"/>
              <w:left w:val="single" w:sz="4" w:space="0" w:color="auto"/>
              <w:bottom w:val="single" w:sz="4" w:space="0" w:color="auto"/>
              <w:right w:val="single" w:sz="4" w:space="0" w:color="auto"/>
            </w:tcBorders>
            <w:shd w:val="clear" w:color="000000" w:fill="EDEDED"/>
            <w:vAlign w:val="center"/>
            <w:hideMark/>
          </w:tcPr>
          <w:p w14:paraId="19605CC3" w14:textId="77777777" w:rsidR="000D52B4" w:rsidRPr="008A3DDE" w:rsidRDefault="000D52B4" w:rsidP="000D52B4">
            <w:pPr>
              <w:spacing w:after="0" w:line="240" w:lineRule="auto"/>
              <w:rPr>
                <w:rFonts w:eastAsia="Times New Roman"/>
                <w:i/>
                <w:iCs/>
              </w:rPr>
            </w:pPr>
            <w:r w:rsidRPr="008A3DDE">
              <w:rPr>
                <w:rFonts w:eastAsia="Times New Roman"/>
                <w:i/>
                <w:iCs/>
              </w:rPr>
              <w:t>Formation européenne en ligne sur les régimes matrimoniaux et les partenariats enregistrés</w:t>
            </w:r>
          </w:p>
        </w:tc>
        <w:tc>
          <w:tcPr>
            <w:tcW w:w="2900" w:type="dxa"/>
            <w:tcBorders>
              <w:top w:val="nil"/>
              <w:left w:val="nil"/>
              <w:bottom w:val="single" w:sz="4" w:space="0" w:color="auto"/>
              <w:right w:val="single" w:sz="4" w:space="0" w:color="auto"/>
            </w:tcBorders>
            <w:shd w:val="clear" w:color="000000" w:fill="EDEDED"/>
            <w:vAlign w:val="bottom"/>
            <w:hideMark/>
          </w:tcPr>
          <w:p w14:paraId="20D36A60" w14:textId="77777777" w:rsidR="000D52B4" w:rsidRPr="008A3DDE" w:rsidRDefault="000D52B4" w:rsidP="000D52B4">
            <w:pPr>
              <w:spacing w:after="0" w:line="240" w:lineRule="auto"/>
              <w:rPr>
                <w:rFonts w:eastAsia="Times New Roman"/>
                <w:i/>
                <w:iCs/>
              </w:rPr>
            </w:pPr>
            <w:r w:rsidRPr="008A3DDE">
              <w:rPr>
                <w:rFonts w:eastAsia="Times New Roman"/>
                <w:i/>
                <w:iCs/>
              </w:rPr>
              <w:t>Conseil Supérieur du Notariat - École Nationale de la Magistrature</w:t>
            </w:r>
          </w:p>
        </w:tc>
        <w:tc>
          <w:tcPr>
            <w:tcW w:w="1200" w:type="dxa"/>
            <w:tcBorders>
              <w:top w:val="nil"/>
              <w:left w:val="nil"/>
              <w:bottom w:val="single" w:sz="4" w:space="0" w:color="auto"/>
              <w:right w:val="single" w:sz="4" w:space="0" w:color="auto"/>
            </w:tcBorders>
            <w:shd w:val="clear" w:color="000000" w:fill="EDEDED"/>
            <w:noWrap/>
            <w:vAlign w:val="center"/>
            <w:hideMark/>
          </w:tcPr>
          <w:p w14:paraId="69A4ADEE" w14:textId="77777777" w:rsidR="000D52B4" w:rsidRPr="000D52B4" w:rsidRDefault="000D52B4" w:rsidP="000D52B4">
            <w:pPr>
              <w:spacing w:after="0" w:line="240" w:lineRule="auto"/>
              <w:jc w:val="right"/>
              <w:rPr>
                <w:rFonts w:eastAsia="Times New Roman"/>
              </w:rPr>
            </w:pPr>
            <w:r w:rsidRPr="000D52B4">
              <w:rPr>
                <w:rFonts w:eastAsia="Times New Roman"/>
              </w:rPr>
              <w:t>2020</w:t>
            </w:r>
          </w:p>
        </w:tc>
      </w:tr>
      <w:tr w:rsidR="000D52B4" w:rsidRPr="000D52B4" w14:paraId="531CC745" w14:textId="77777777" w:rsidTr="000D52B4">
        <w:trPr>
          <w:trHeight w:val="900"/>
        </w:trPr>
        <w:tc>
          <w:tcPr>
            <w:tcW w:w="5180" w:type="dxa"/>
            <w:tcBorders>
              <w:top w:val="nil"/>
              <w:left w:val="single" w:sz="4" w:space="0" w:color="auto"/>
              <w:bottom w:val="single" w:sz="4" w:space="0" w:color="auto"/>
              <w:right w:val="single" w:sz="4" w:space="0" w:color="auto"/>
            </w:tcBorders>
            <w:shd w:val="clear" w:color="auto" w:fill="auto"/>
            <w:noWrap/>
            <w:vAlign w:val="center"/>
            <w:hideMark/>
          </w:tcPr>
          <w:p w14:paraId="48E7BE0C" w14:textId="77777777" w:rsidR="000D52B4" w:rsidRPr="008A3DDE" w:rsidRDefault="000D52B4" w:rsidP="000D52B4">
            <w:pPr>
              <w:spacing w:after="0" w:line="240" w:lineRule="auto"/>
              <w:rPr>
                <w:rFonts w:eastAsia="Times New Roman"/>
                <w:i/>
                <w:iCs/>
              </w:rPr>
            </w:pPr>
            <w:r w:rsidRPr="008A3DDE">
              <w:rPr>
                <w:rFonts w:eastAsia="Times New Roman"/>
                <w:i/>
                <w:iCs/>
              </w:rPr>
              <w:t>Curso sobre medidas cautelares</w:t>
            </w:r>
          </w:p>
        </w:tc>
        <w:tc>
          <w:tcPr>
            <w:tcW w:w="2900" w:type="dxa"/>
            <w:tcBorders>
              <w:top w:val="nil"/>
              <w:left w:val="nil"/>
              <w:bottom w:val="single" w:sz="4" w:space="0" w:color="auto"/>
              <w:right w:val="single" w:sz="4" w:space="0" w:color="auto"/>
            </w:tcBorders>
            <w:shd w:val="clear" w:color="auto" w:fill="auto"/>
            <w:vAlign w:val="bottom"/>
            <w:hideMark/>
          </w:tcPr>
          <w:p w14:paraId="7D72BFD4" w14:textId="77777777" w:rsidR="000D52B4" w:rsidRPr="008A3DDE" w:rsidRDefault="000D52B4" w:rsidP="000D52B4">
            <w:pPr>
              <w:spacing w:after="0" w:line="240" w:lineRule="auto"/>
              <w:rPr>
                <w:rFonts w:eastAsia="Times New Roman"/>
                <w:i/>
                <w:iCs/>
                <w:color w:val="00000A"/>
              </w:rPr>
            </w:pPr>
            <w:r w:rsidRPr="008A3DDE">
              <w:rPr>
                <w:rFonts w:eastAsia="Times New Roman"/>
                <w:i/>
                <w:iCs/>
                <w:color w:val="00000A"/>
              </w:rPr>
              <w:t>Centro de Graduados de la Facultad de Derecho, Universidad de Buenos Aires</w:t>
            </w:r>
          </w:p>
        </w:tc>
        <w:tc>
          <w:tcPr>
            <w:tcW w:w="1200" w:type="dxa"/>
            <w:tcBorders>
              <w:top w:val="nil"/>
              <w:left w:val="nil"/>
              <w:bottom w:val="single" w:sz="4" w:space="0" w:color="auto"/>
              <w:right w:val="single" w:sz="4" w:space="0" w:color="auto"/>
            </w:tcBorders>
            <w:shd w:val="clear" w:color="auto" w:fill="auto"/>
            <w:noWrap/>
            <w:vAlign w:val="center"/>
            <w:hideMark/>
          </w:tcPr>
          <w:p w14:paraId="36361051" w14:textId="77777777" w:rsidR="000D52B4" w:rsidRPr="000D52B4" w:rsidRDefault="000D52B4" w:rsidP="000D52B4">
            <w:pPr>
              <w:spacing w:after="0" w:line="240" w:lineRule="auto"/>
              <w:jc w:val="right"/>
              <w:rPr>
                <w:rFonts w:eastAsia="Times New Roman"/>
              </w:rPr>
            </w:pPr>
            <w:r w:rsidRPr="000D52B4">
              <w:rPr>
                <w:rFonts w:eastAsia="Times New Roman"/>
              </w:rPr>
              <w:t>2020</w:t>
            </w:r>
          </w:p>
        </w:tc>
      </w:tr>
      <w:tr w:rsidR="000D52B4" w:rsidRPr="000D52B4" w14:paraId="29AAF1B2" w14:textId="77777777" w:rsidTr="000D52B4">
        <w:trPr>
          <w:trHeight w:val="300"/>
        </w:trPr>
        <w:tc>
          <w:tcPr>
            <w:tcW w:w="5180" w:type="dxa"/>
            <w:tcBorders>
              <w:top w:val="nil"/>
              <w:left w:val="single" w:sz="4" w:space="0" w:color="auto"/>
              <w:bottom w:val="single" w:sz="4" w:space="0" w:color="auto"/>
              <w:right w:val="single" w:sz="4" w:space="0" w:color="auto"/>
            </w:tcBorders>
            <w:shd w:val="clear" w:color="000000" w:fill="EDEDED"/>
            <w:noWrap/>
            <w:vAlign w:val="bottom"/>
            <w:hideMark/>
          </w:tcPr>
          <w:p w14:paraId="121585B9" w14:textId="77777777" w:rsidR="000D52B4" w:rsidRPr="008A3DDE" w:rsidRDefault="000D52B4" w:rsidP="000D52B4">
            <w:pPr>
              <w:spacing w:after="0" w:line="240" w:lineRule="auto"/>
              <w:rPr>
                <w:rFonts w:eastAsia="Times New Roman"/>
                <w:i/>
                <w:iCs/>
              </w:rPr>
            </w:pPr>
            <w:r w:rsidRPr="008A3DDE">
              <w:rPr>
                <w:rFonts w:eastAsia="Times New Roman"/>
                <w:i/>
                <w:iCs/>
              </w:rPr>
              <w:t>Curso de capacitación en enología</w:t>
            </w:r>
          </w:p>
        </w:tc>
        <w:tc>
          <w:tcPr>
            <w:tcW w:w="2900" w:type="dxa"/>
            <w:tcBorders>
              <w:top w:val="nil"/>
              <w:left w:val="nil"/>
              <w:bottom w:val="single" w:sz="4" w:space="0" w:color="auto"/>
              <w:right w:val="single" w:sz="4" w:space="0" w:color="auto"/>
            </w:tcBorders>
            <w:shd w:val="clear" w:color="000000" w:fill="EDEDED"/>
            <w:noWrap/>
            <w:vAlign w:val="bottom"/>
            <w:hideMark/>
          </w:tcPr>
          <w:p w14:paraId="5EB7D403" w14:textId="77777777" w:rsidR="000D52B4" w:rsidRPr="008A3DDE" w:rsidRDefault="000D52B4" w:rsidP="000D52B4">
            <w:pPr>
              <w:spacing w:after="0" w:line="240" w:lineRule="auto"/>
              <w:rPr>
                <w:rFonts w:eastAsia="Times New Roman"/>
                <w:i/>
                <w:iCs/>
                <w:color w:val="00000A"/>
              </w:rPr>
            </w:pPr>
            <w:r w:rsidRPr="008A3DDE">
              <w:rPr>
                <w:rFonts w:eastAsia="Times New Roman"/>
                <w:i/>
                <w:iCs/>
                <w:color w:val="00000A"/>
              </w:rPr>
              <w:t xml:space="preserve">Escuela Argentina de Vinos </w:t>
            </w:r>
          </w:p>
        </w:tc>
        <w:tc>
          <w:tcPr>
            <w:tcW w:w="1200" w:type="dxa"/>
            <w:tcBorders>
              <w:top w:val="nil"/>
              <w:left w:val="nil"/>
              <w:bottom w:val="single" w:sz="4" w:space="0" w:color="auto"/>
              <w:right w:val="single" w:sz="4" w:space="0" w:color="auto"/>
            </w:tcBorders>
            <w:shd w:val="clear" w:color="000000" w:fill="EDEDED"/>
            <w:noWrap/>
            <w:vAlign w:val="bottom"/>
            <w:hideMark/>
          </w:tcPr>
          <w:p w14:paraId="4D4D4DB5" w14:textId="77777777" w:rsidR="000D52B4" w:rsidRPr="000D52B4" w:rsidRDefault="000D52B4" w:rsidP="000D52B4">
            <w:pPr>
              <w:spacing w:after="0" w:line="240" w:lineRule="auto"/>
              <w:jc w:val="right"/>
              <w:rPr>
                <w:rFonts w:eastAsia="Times New Roman"/>
              </w:rPr>
            </w:pPr>
            <w:r w:rsidRPr="000D52B4">
              <w:rPr>
                <w:rFonts w:eastAsia="Times New Roman"/>
              </w:rPr>
              <w:t>2019</w:t>
            </w:r>
          </w:p>
        </w:tc>
      </w:tr>
      <w:tr w:rsidR="000D52B4" w:rsidRPr="000D52B4" w14:paraId="7BF56C5C" w14:textId="77777777" w:rsidTr="000D52B4">
        <w:trPr>
          <w:trHeight w:val="600"/>
        </w:trPr>
        <w:tc>
          <w:tcPr>
            <w:tcW w:w="5180" w:type="dxa"/>
            <w:tcBorders>
              <w:top w:val="nil"/>
              <w:left w:val="single" w:sz="4" w:space="0" w:color="auto"/>
              <w:bottom w:val="single" w:sz="4" w:space="0" w:color="auto"/>
              <w:right w:val="single" w:sz="4" w:space="0" w:color="auto"/>
            </w:tcBorders>
            <w:shd w:val="clear" w:color="auto" w:fill="auto"/>
            <w:noWrap/>
            <w:vAlign w:val="center"/>
            <w:hideMark/>
          </w:tcPr>
          <w:p w14:paraId="1E070472" w14:textId="77777777" w:rsidR="000D52B4" w:rsidRPr="008A3DDE" w:rsidRDefault="000D52B4" w:rsidP="000D52B4">
            <w:pPr>
              <w:spacing w:after="0" w:line="240" w:lineRule="auto"/>
              <w:rPr>
                <w:rFonts w:eastAsia="Times New Roman"/>
                <w:i/>
                <w:iCs/>
              </w:rPr>
            </w:pPr>
            <w:r w:rsidRPr="008A3DDE">
              <w:rPr>
                <w:rFonts w:eastAsia="Times New Roman"/>
                <w:i/>
                <w:iCs/>
              </w:rPr>
              <w:t>El Servicio Penitenciario Francés</w:t>
            </w:r>
          </w:p>
        </w:tc>
        <w:tc>
          <w:tcPr>
            <w:tcW w:w="2900" w:type="dxa"/>
            <w:tcBorders>
              <w:top w:val="nil"/>
              <w:left w:val="nil"/>
              <w:bottom w:val="single" w:sz="4" w:space="0" w:color="auto"/>
              <w:right w:val="single" w:sz="4" w:space="0" w:color="auto"/>
            </w:tcBorders>
            <w:shd w:val="clear" w:color="auto" w:fill="auto"/>
            <w:vAlign w:val="bottom"/>
            <w:hideMark/>
          </w:tcPr>
          <w:p w14:paraId="0E424788" w14:textId="77777777" w:rsidR="000D52B4" w:rsidRPr="008A3DDE" w:rsidRDefault="000D52B4" w:rsidP="000D52B4">
            <w:pPr>
              <w:spacing w:after="0" w:line="240" w:lineRule="auto"/>
              <w:rPr>
                <w:rFonts w:eastAsia="Times New Roman"/>
                <w:i/>
                <w:iCs/>
              </w:rPr>
            </w:pPr>
            <w:r w:rsidRPr="008A3DDE">
              <w:rPr>
                <w:rFonts w:eastAsia="Times New Roman"/>
                <w:i/>
                <w:iCs/>
              </w:rPr>
              <w:t>Facultad de Derecho, Universidad de Buenos Aires</w:t>
            </w:r>
          </w:p>
        </w:tc>
        <w:tc>
          <w:tcPr>
            <w:tcW w:w="1200" w:type="dxa"/>
            <w:tcBorders>
              <w:top w:val="nil"/>
              <w:left w:val="nil"/>
              <w:bottom w:val="single" w:sz="4" w:space="0" w:color="auto"/>
              <w:right w:val="single" w:sz="4" w:space="0" w:color="auto"/>
            </w:tcBorders>
            <w:shd w:val="clear" w:color="auto" w:fill="auto"/>
            <w:noWrap/>
            <w:vAlign w:val="center"/>
            <w:hideMark/>
          </w:tcPr>
          <w:p w14:paraId="1FBEF623" w14:textId="77777777" w:rsidR="000D52B4" w:rsidRPr="000D52B4" w:rsidRDefault="000D52B4" w:rsidP="000D52B4">
            <w:pPr>
              <w:spacing w:after="0" w:line="240" w:lineRule="auto"/>
              <w:jc w:val="right"/>
              <w:rPr>
                <w:rFonts w:eastAsia="Times New Roman"/>
              </w:rPr>
            </w:pPr>
            <w:r w:rsidRPr="000D52B4">
              <w:rPr>
                <w:rFonts w:eastAsia="Times New Roman"/>
              </w:rPr>
              <w:t>2017</w:t>
            </w:r>
          </w:p>
        </w:tc>
      </w:tr>
      <w:tr w:rsidR="000D52B4" w:rsidRPr="000D52B4" w14:paraId="5647A439" w14:textId="77777777" w:rsidTr="000D52B4">
        <w:trPr>
          <w:trHeight w:val="600"/>
        </w:trPr>
        <w:tc>
          <w:tcPr>
            <w:tcW w:w="5180" w:type="dxa"/>
            <w:tcBorders>
              <w:top w:val="nil"/>
              <w:left w:val="single" w:sz="4" w:space="0" w:color="auto"/>
              <w:bottom w:val="single" w:sz="4" w:space="0" w:color="auto"/>
              <w:right w:val="single" w:sz="4" w:space="0" w:color="auto"/>
            </w:tcBorders>
            <w:shd w:val="clear" w:color="000000" w:fill="EDEDED"/>
            <w:vAlign w:val="bottom"/>
            <w:hideMark/>
          </w:tcPr>
          <w:p w14:paraId="114B08D9" w14:textId="77777777" w:rsidR="000D52B4" w:rsidRPr="008A3DDE" w:rsidRDefault="000D52B4" w:rsidP="000D52B4">
            <w:pPr>
              <w:spacing w:after="0" w:line="240" w:lineRule="auto"/>
              <w:rPr>
                <w:rFonts w:eastAsia="Times New Roman"/>
                <w:i/>
                <w:iCs/>
              </w:rPr>
            </w:pPr>
            <w:r w:rsidRPr="008A3DDE">
              <w:rPr>
                <w:rFonts w:eastAsia="Times New Roman"/>
                <w:i/>
                <w:iCs/>
              </w:rPr>
              <w:t>La jurisprudencia del Tribunal Europeo de Derechos Humanos en materia de ejecución penal</w:t>
            </w:r>
          </w:p>
        </w:tc>
        <w:tc>
          <w:tcPr>
            <w:tcW w:w="2900" w:type="dxa"/>
            <w:tcBorders>
              <w:top w:val="nil"/>
              <w:left w:val="nil"/>
              <w:bottom w:val="single" w:sz="4" w:space="0" w:color="auto"/>
              <w:right w:val="single" w:sz="4" w:space="0" w:color="auto"/>
            </w:tcBorders>
            <w:shd w:val="clear" w:color="000000" w:fill="EDEDED"/>
            <w:vAlign w:val="bottom"/>
            <w:hideMark/>
          </w:tcPr>
          <w:p w14:paraId="069F3764" w14:textId="77777777" w:rsidR="000D52B4" w:rsidRPr="008A3DDE" w:rsidRDefault="000D52B4" w:rsidP="000D52B4">
            <w:pPr>
              <w:spacing w:after="0" w:line="240" w:lineRule="auto"/>
              <w:rPr>
                <w:rFonts w:eastAsia="Times New Roman"/>
                <w:i/>
                <w:iCs/>
              </w:rPr>
            </w:pPr>
            <w:r w:rsidRPr="008A3DDE">
              <w:rPr>
                <w:rFonts w:eastAsia="Times New Roman"/>
                <w:i/>
                <w:iCs/>
              </w:rPr>
              <w:t>Facultad de Derecho, Universidad de Buenos Aires</w:t>
            </w:r>
          </w:p>
        </w:tc>
        <w:tc>
          <w:tcPr>
            <w:tcW w:w="1200" w:type="dxa"/>
            <w:tcBorders>
              <w:top w:val="nil"/>
              <w:left w:val="nil"/>
              <w:bottom w:val="single" w:sz="4" w:space="0" w:color="auto"/>
              <w:right w:val="single" w:sz="4" w:space="0" w:color="auto"/>
            </w:tcBorders>
            <w:shd w:val="clear" w:color="000000" w:fill="EDEDED"/>
            <w:noWrap/>
            <w:vAlign w:val="center"/>
            <w:hideMark/>
          </w:tcPr>
          <w:p w14:paraId="251CA08A" w14:textId="77777777" w:rsidR="000D52B4" w:rsidRPr="000D52B4" w:rsidRDefault="000D52B4" w:rsidP="000D52B4">
            <w:pPr>
              <w:spacing w:after="0" w:line="240" w:lineRule="auto"/>
              <w:jc w:val="right"/>
              <w:rPr>
                <w:rFonts w:eastAsia="Times New Roman"/>
              </w:rPr>
            </w:pPr>
            <w:r w:rsidRPr="000D52B4">
              <w:rPr>
                <w:rFonts w:eastAsia="Times New Roman"/>
              </w:rPr>
              <w:t>2017</w:t>
            </w:r>
          </w:p>
        </w:tc>
      </w:tr>
      <w:tr w:rsidR="000D52B4" w:rsidRPr="000D52B4" w14:paraId="6D9F8F88" w14:textId="77777777" w:rsidTr="000D52B4">
        <w:trPr>
          <w:trHeight w:val="600"/>
        </w:trPr>
        <w:tc>
          <w:tcPr>
            <w:tcW w:w="5180" w:type="dxa"/>
            <w:tcBorders>
              <w:top w:val="nil"/>
              <w:left w:val="single" w:sz="4" w:space="0" w:color="auto"/>
              <w:bottom w:val="single" w:sz="4" w:space="0" w:color="auto"/>
              <w:right w:val="single" w:sz="4" w:space="0" w:color="auto"/>
            </w:tcBorders>
            <w:shd w:val="clear" w:color="auto" w:fill="auto"/>
            <w:vAlign w:val="bottom"/>
            <w:hideMark/>
          </w:tcPr>
          <w:p w14:paraId="15741399" w14:textId="77777777" w:rsidR="000D52B4" w:rsidRPr="008A3DDE" w:rsidRDefault="000D52B4" w:rsidP="000D52B4">
            <w:pPr>
              <w:spacing w:after="0" w:line="240" w:lineRule="auto"/>
              <w:rPr>
                <w:rFonts w:eastAsia="Times New Roman"/>
                <w:i/>
                <w:iCs/>
              </w:rPr>
            </w:pPr>
            <w:r w:rsidRPr="008A3DDE">
              <w:rPr>
                <w:rFonts w:eastAsia="Times New Roman"/>
                <w:i/>
                <w:iCs/>
              </w:rPr>
              <w:t>Primer Congreso Universitario de formación en Traducción e Interpretación</w:t>
            </w:r>
          </w:p>
        </w:tc>
        <w:tc>
          <w:tcPr>
            <w:tcW w:w="2900" w:type="dxa"/>
            <w:tcBorders>
              <w:top w:val="nil"/>
              <w:left w:val="nil"/>
              <w:bottom w:val="single" w:sz="4" w:space="0" w:color="auto"/>
              <w:right w:val="single" w:sz="4" w:space="0" w:color="auto"/>
            </w:tcBorders>
            <w:shd w:val="clear" w:color="auto" w:fill="auto"/>
            <w:vAlign w:val="bottom"/>
            <w:hideMark/>
          </w:tcPr>
          <w:p w14:paraId="212095D9" w14:textId="77777777" w:rsidR="000D52B4" w:rsidRPr="008A3DDE" w:rsidRDefault="000D52B4" w:rsidP="000D52B4">
            <w:pPr>
              <w:spacing w:after="0" w:line="240" w:lineRule="auto"/>
              <w:rPr>
                <w:rFonts w:eastAsia="Times New Roman"/>
                <w:i/>
                <w:iCs/>
              </w:rPr>
            </w:pPr>
            <w:r w:rsidRPr="008A3DDE">
              <w:rPr>
                <w:rFonts w:eastAsia="Times New Roman"/>
                <w:i/>
                <w:iCs/>
              </w:rPr>
              <w:t>Facultad de Derecho, Universidad de Buenos Aires</w:t>
            </w:r>
          </w:p>
        </w:tc>
        <w:tc>
          <w:tcPr>
            <w:tcW w:w="1200" w:type="dxa"/>
            <w:tcBorders>
              <w:top w:val="nil"/>
              <w:left w:val="nil"/>
              <w:bottom w:val="single" w:sz="4" w:space="0" w:color="auto"/>
              <w:right w:val="single" w:sz="4" w:space="0" w:color="auto"/>
            </w:tcBorders>
            <w:shd w:val="clear" w:color="auto" w:fill="auto"/>
            <w:noWrap/>
            <w:vAlign w:val="center"/>
            <w:hideMark/>
          </w:tcPr>
          <w:p w14:paraId="7A216152" w14:textId="77777777" w:rsidR="000D52B4" w:rsidRPr="000D52B4" w:rsidRDefault="000D52B4" w:rsidP="000D52B4">
            <w:pPr>
              <w:spacing w:after="0" w:line="240" w:lineRule="auto"/>
              <w:jc w:val="right"/>
              <w:rPr>
                <w:rFonts w:eastAsia="Times New Roman"/>
              </w:rPr>
            </w:pPr>
            <w:r w:rsidRPr="000D52B4">
              <w:rPr>
                <w:rFonts w:eastAsia="Times New Roman"/>
              </w:rPr>
              <w:t>2017</w:t>
            </w:r>
          </w:p>
        </w:tc>
      </w:tr>
      <w:tr w:rsidR="000D52B4" w:rsidRPr="000D52B4" w14:paraId="62D45839" w14:textId="77777777" w:rsidTr="000D52B4">
        <w:trPr>
          <w:trHeight w:val="600"/>
        </w:trPr>
        <w:tc>
          <w:tcPr>
            <w:tcW w:w="5180" w:type="dxa"/>
            <w:tcBorders>
              <w:top w:val="nil"/>
              <w:left w:val="single" w:sz="4" w:space="0" w:color="auto"/>
              <w:bottom w:val="single" w:sz="4" w:space="0" w:color="auto"/>
              <w:right w:val="single" w:sz="4" w:space="0" w:color="auto"/>
            </w:tcBorders>
            <w:shd w:val="clear" w:color="000000" w:fill="EDEDED"/>
            <w:vAlign w:val="bottom"/>
            <w:hideMark/>
          </w:tcPr>
          <w:p w14:paraId="1D524148" w14:textId="77777777" w:rsidR="000D52B4" w:rsidRPr="008A3DDE" w:rsidRDefault="000D52B4" w:rsidP="000D52B4">
            <w:pPr>
              <w:spacing w:after="0" w:line="240" w:lineRule="auto"/>
              <w:rPr>
                <w:rFonts w:eastAsia="Times New Roman"/>
                <w:i/>
                <w:iCs/>
              </w:rPr>
            </w:pPr>
            <w:r w:rsidRPr="008A3DDE">
              <w:rPr>
                <w:rFonts w:eastAsia="Times New Roman"/>
                <w:i/>
                <w:iCs/>
              </w:rPr>
              <w:t>Sobre una interpretación preventivo-general de la culpabilidad y la exculpación</w:t>
            </w:r>
          </w:p>
        </w:tc>
        <w:tc>
          <w:tcPr>
            <w:tcW w:w="2900" w:type="dxa"/>
            <w:tcBorders>
              <w:top w:val="nil"/>
              <w:left w:val="nil"/>
              <w:bottom w:val="single" w:sz="4" w:space="0" w:color="auto"/>
              <w:right w:val="single" w:sz="4" w:space="0" w:color="auto"/>
            </w:tcBorders>
            <w:shd w:val="clear" w:color="000000" w:fill="EDEDED"/>
            <w:vAlign w:val="bottom"/>
            <w:hideMark/>
          </w:tcPr>
          <w:p w14:paraId="779F17C8" w14:textId="77777777" w:rsidR="000D52B4" w:rsidRPr="008A3DDE" w:rsidRDefault="000D52B4" w:rsidP="000D52B4">
            <w:pPr>
              <w:spacing w:after="0" w:line="240" w:lineRule="auto"/>
              <w:rPr>
                <w:rFonts w:eastAsia="Times New Roman"/>
                <w:i/>
                <w:iCs/>
              </w:rPr>
            </w:pPr>
            <w:r w:rsidRPr="008A3DDE">
              <w:rPr>
                <w:rFonts w:eastAsia="Times New Roman"/>
                <w:i/>
                <w:iCs/>
              </w:rPr>
              <w:t>Facultad de Derecho, Universidad de Buenos Aires</w:t>
            </w:r>
          </w:p>
        </w:tc>
        <w:tc>
          <w:tcPr>
            <w:tcW w:w="1200" w:type="dxa"/>
            <w:tcBorders>
              <w:top w:val="nil"/>
              <w:left w:val="nil"/>
              <w:bottom w:val="single" w:sz="4" w:space="0" w:color="auto"/>
              <w:right w:val="single" w:sz="4" w:space="0" w:color="auto"/>
            </w:tcBorders>
            <w:shd w:val="clear" w:color="000000" w:fill="EDEDED"/>
            <w:noWrap/>
            <w:vAlign w:val="center"/>
            <w:hideMark/>
          </w:tcPr>
          <w:p w14:paraId="2D604F70" w14:textId="77777777" w:rsidR="000D52B4" w:rsidRPr="000D52B4" w:rsidRDefault="000D52B4" w:rsidP="000D52B4">
            <w:pPr>
              <w:spacing w:after="0" w:line="240" w:lineRule="auto"/>
              <w:jc w:val="right"/>
              <w:rPr>
                <w:rFonts w:eastAsia="Times New Roman"/>
              </w:rPr>
            </w:pPr>
            <w:r w:rsidRPr="000D52B4">
              <w:rPr>
                <w:rFonts w:eastAsia="Times New Roman"/>
              </w:rPr>
              <w:t>2017</w:t>
            </w:r>
          </w:p>
        </w:tc>
      </w:tr>
      <w:tr w:rsidR="000D52B4" w:rsidRPr="000D52B4" w14:paraId="4915BC32" w14:textId="77777777" w:rsidTr="000D52B4">
        <w:trPr>
          <w:trHeight w:val="600"/>
        </w:trPr>
        <w:tc>
          <w:tcPr>
            <w:tcW w:w="5180" w:type="dxa"/>
            <w:tcBorders>
              <w:top w:val="nil"/>
              <w:left w:val="single" w:sz="4" w:space="0" w:color="auto"/>
              <w:bottom w:val="single" w:sz="4" w:space="0" w:color="auto"/>
              <w:right w:val="single" w:sz="4" w:space="0" w:color="auto"/>
            </w:tcBorders>
            <w:shd w:val="clear" w:color="auto" w:fill="auto"/>
            <w:noWrap/>
            <w:vAlign w:val="center"/>
            <w:hideMark/>
          </w:tcPr>
          <w:p w14:paraId="07496910" w14:textId="77777777" w:rsidR="000D52B4" w:rsidRPr="008A3DDE" w:rsidRDefault="000D52B4" w:rsidP="000D52B4">
            <w:pPr>
              <w:spacing w:after="0" w:line="240" w:lineRule="auto"/>
              <w:rPr>
                <w:rFonts w:eastAsia="Times New Roman"/>
                <w:i/>
                <w:iCs/>
                <w:color w:val="00000A"/>
              </w:rPr>
            </w:pPr>
            <w:r w:rsidRPr="008A3DDE">
              <w:rPr>
                <w:rFonts w:eastAsia="Times New Roman"/>
                <w:i/>
                <w:iCs/>
                <w:color w:val="00000A"/>
              </w:rPr>
              <w:t>Diversidad sexual y movilidad humana</w:t>
            </w:r>
          </w:p>
        </w:tc>
        <w:tc>
          <w:tcPr>
            <w:tcW w:w="2900" w:type="dxa"/>
            <w:tcBorders>
              <w:top w:val="nil"/>
              <w:left w:val="nil"/>
              <w:bottom w:val="single" w:sz="4" w:space="0" w:color="auto"/>
              <w:right w:val="single" w:sz="4" w:space="0" w:color="auto"/>
            </w:tcBorders>
            <w:shd w:val="clear" w:color="auto" w:fill="auto"/>
            <w:vAlign w:val="bottom"/>
            <w:hideMark/>
          </w:tcPr>
          <w:p w14:paraId="265042F0" w14:textId="77777777" w:rsidR="000D52B4" w:rsidRPr="008A3DDE" w:rsidRDefault="000D52B4" w:rsidP="000D52B4">
            <w:pPr>
              <w:spacing w:after="0" w:line="240" w:lineRule="auto"/>
              <w:rPr>
                <w:rFonts w:eastAsia="Times New Roman"/>
                <w:i/>
                <w:iCs/>
              </w:rPr>
            </w:pPr>
            <w:r w:rsidRPr="008A3DDE">
              <w:rPr>
                <w:rFonts w:eastAsia="Times New Roman"/>
                <w:i/>
                <w:iCs/>
              </w:rPr>
              <w:t>Facultad de Derecho, Universidad de Buenos Aires</w:t>
            </w:r>
          </w:p>
        </w:tc>
        <w:tc>
          <w:tcPr>
            <w:tcW w:w="1200" w:type="dxa"/>
            <w:tcBorders>
              <w:top w:val="nil"/>
              <w:left w:val="nil"/>
              <w:bottom w:val="single" w:sz="4" w:space="0" w:color="auto"/>
              <w:right w:val="single" w:sz="4" w:space="0" w:color="auto"/>
            </w:tcBorders>
            <w:shd w:val="clear" w:color="auto" w:fill="auto"/>
            <w:noWrap/>
            <w:vAlign w:val="center"/>
            <w:hideMark/>
          </w:tcPr>
          <w:p w14:paraId="7024A689" w14:textId="77777777" w:rsidR="000D52B4" w:rsidRPr="000D52B4" w:rsidRDefault="000D52B4" w:rsidP="000D52B4">
            <w:pPr>
              <w:spacing w:after="0" w:line="240" w:lineRule="auto"/>
              <w:jc w:val="right"/>
              <w:rPr>
                <w:rFonts w:eastAsia="Times New Roman"/>
              </w:rPr>
            </w:pPr>
            <w:r w:rsidRPr="000D52B4">
              <w:rPr>
                <w:rFonts w:eastAsia="Times New Roman"/>
              </w:rPr>
              <w:t>2017</w:t>
            </w:r>
          </w:p>
        </w:tc>
      </w:tr>
      <w:tr w:rsidR="000D52B4" w:rsidRPr="000D52B4" w14:paraId="430A1740" w14:textId="77777777" w:rsidTr="000D52B4">
        <w:trPr>
          <w:trHeight w:val="900"/>
        </w:trPr>
        <w:tc>
          <w:tcPr>
            <w:tcW w:w="5180" w:type="dxa"/>
            <w:tcBorders>
              <w:top w:val="nil"/>
              <w:left w:val="single" w:sz="4" w:space="0" w:color="auto"/>
              <w:bottom w:val="single" w:sz="4" w:space="0" w:color="auto"/>
              <w:right w:val="single" w:sz="4" w:space="0" w:color="auto"/>
            </w:tcBorders>
            <w:shd w:val="clear" w:color="000000" w:fill="EDEDED"/>
            <w:vAlign w:val="center"/>
            <w:hideMark/>
          </w:tcPr>
          <w:p w14:paraId="61E1AFB1" w14:textId="69CB5DCC" w:rsidR="000D52B4" w:rsidRPr="008A3DDE" w:rsidRDefault="000D52B4" w:rsidP="000D52B4">
            <w:pPr>
              <w:spacing w:after="0" w:line="240" w:lineRule="auto"/>
              <w:rPr>
                <w:rFonts w:eastAsia="Times New Roman"/>
                <w:i/>
                <w:iCs/>
              </w:rPr>
            </w:pPr>
            <w:r w:rsidRPr="008A3DDE">
              <w:rPr>
                <w:rFonts w:eastAsia="Times New Roman"/>
                <w:i/>
                <w:iCs/>
              </w:rPr>
              <w:t>Int</w:t>
            </w:r>
            <w:r w:rsidR="006625FC">
              <w:rPr>
                <w:rFonts w:eastAsia="Times New Roman"/>
                <w:i/>
                <w:iCs/>
              </w:rPr>
              <w:t>r</w:t>
            </w:r>
            <w:r w:rsidRPr="008A3DDE">
              <w:rPr>
                <w:rFonts w:eastAsia="Times New Roman"/>
                <w:i/>
                <w:iCs/>
              </w:rPr>
              <w:t>oducción al subtitulado profesional: teoría, práctica y software</w:t>
            </w:r>
          </w:p>
        </w:tc>
        <w:tc>
          <w:tcPr>
            <w:tcW w:w="2900" w:type="dxa"/>
            <w:tcBorders>
              <w:top w:val="nil"/>
              <w:left w:val="nil"/>
              <w:bottom w:val="single" w:sz="4" w:space="0" w:color="auto"/>
              <w:right w:val="single" w:sz="4" w:space="0" w:color="auto"/>
            </w:tcBorders>
            <w:shd w:val="clear" w:color="000000" w:fill="EDEDED"/>
            <w:vAlign w:val="bottom"/>
            <w:hideMark/>
          </w:tcPr>
          <w:p w14:paraId="2A1DF7DD" w14:textId="77777777" w:rsidR="000D52B4" w:rsidRPr="008A3DDE" w:rsidRDefault="000D52B4" w:rsidP="000D52B4">
            <w:pPr>
              <w:spacing w:after="0" w:line="240" w:lineRule="auto"/>
              <w:rPr>
                <w:rFonts w:eastAsia="Times New Roman"/>
                <w:i/>
                <w:iCs/>
              </w:rPr>
            </w:pPr>
            <w:r w:rsidRPr="008A3DDE">
              <w:rPr>
                <w:rFonts w:eastAsia="Times New Roman"/>
                <w:i/>
                <w:iCs/>
              </w:rPr>
              <w:t>Colegio de traductores públicos de la Ciudad de Buenos Aires</w:t>
            </w:r>
          </w:p>
        </w:tc>
        <w:tc>
          <w:tcPr>
            <w:tcW w:w="1200" w:type="dxa"/>
            <w:tcBorders>
              <w:top w:val="nil"/>
              <w:left w:val="nil"/>
              <w:bottom w:val="single" w:sz="4" w:space="0" w:color="auto"/>
              <w:right w:val="single" w:sz="4" w:space="0" w:color="auto"/>
            </w:tcBorders>
            <w:shd w:val="clear" w:color="000000" w:fill="EDEDED"/>
            <w:noWrap/>
            <w:vAlign w:val="center"/>
            <w:hideMark/>
          </w:tcPr>
          <w:p w14:paraId="5ABA959A" w14:textId="77777777" w:rsidR="000D52B4" w:rsidRPr="000D52B4" w:rsidRDefault="000D52B4" w:rsidP="000D52B4">
            <w:pPr>
              <w:spacing w:after="0" w:line="240" w:lineRule="auto"/>
              <w:jc w:val="right"/>
              <w:rPr>
                <w:rFonts w:eastAsia="Times New Roman"/>
              </w:rPr>
            </w:pPr>
            <w:r w:rsidRPr="000D52B4">
              <w:rPr>
                <w:rFonts w:eastAsia="Times New Roman"/>
              </w:rPr>
              <w:t>2017</w:t>
            </w:r>
          </w:p>
        </w:tc>
      </w:tr>
      <w:tr w:rsidR="000D52B4" w:rsidRPr="000D52B4" w14:paraId="6A22103B" w14:textId="77777777" w:rsidTr="000D52B4">
        <w:trPr>
          <w:trHeight w:val="600"/>
        </w:trPr>
        <w:tc>
          <w:tcPr>
            <w:tcW w:w="5180" w:type="dxa"/>
            <w:tcBorders>
              <w:top w:val="nil"/>
              <w:left w:val="single" w:sz="4" w:space="0" w:color="auto"/>
              <w:bottom w:val="single" w:sz="4" w:space="0" w:color="auto"/>
              <w:right w:val="single" w:sz="4" w:space="0" w:color="auto"/>
            </w:tcBorders>
            <w:shd w:val="clear" w:color="auto" w:fill="auto"/>
            <w:vAlign w:val="bottom"/>
            <w:hideMark/>
          </w:tcPr>
          <w:p w14:paraId="752AD813" w14:textId="77777777" w:rsidR="000D52B4" w:rsidRPr="008A3DDE" w:rsidRDefault="000D52B4" w:rsidP="000D52B4">
            <w:pPr>
              <w:spacing w:after="0" w:line="240" w:lineRule="auto"/>
              <w:rPr>
                <w:rFonts w:eastAsia="Times New Roman"/>
                <w:i/>
                <w:iCs/>
              </w:rPr>
            </w:pPr>
            <w:r w:rsidRPr="008A3DDE">
              <w:rPr>
                <w:rFonts w:eastAsia="Times New Roman"/>
                <w:i/>
                <w:iCs/>
              </w:rPr>
              <w:t>Propiedad intelectual e industrial y nuevos desafíos: el panorama en Argentina y en Francia</w:t>
            </w:r>
          </w:p>
        </w:tc>
        <w:tc>
          <w:tcPr>
            <w:tcW w:w="2900" w:type="dxa"/>
            <w:tcBorders>
              <w:top w:val="nil"/>
              <w:left w:val="nil"/>
              <w:bottom w:val="single" w:sz="4" w:space="0" w:color="auto"/>
              <w:right w:val="single" w:sz="4" w:space="0" w:color="auto"/>
            </w:tcBorders>
            <w:shd w:val="clear" w:color="auto" w:fill="auto"/>
            <w:vAlign w:val="bottom"/>
            <w:hideMark/>
          </w:tcPr>
          <w:p w14:paraId="07B04B57" w14:textId="77777777" w:rsidR="000D52B4" w:rsidRPr="008A3DDE" w:rsidRDefault="000D52B4" w:rsidP="000D52B4">
            <w:pPr>
              <w:spacing w:after="0" w:line="240" w:lineRule="auto"/>
              <w:rPr>
                <w:rFonts w:eastAsia="Times New Roman"/>
                <w:i/>
                <w:iCs/>
              </w:rPr>
            </w:pPr>
            <w:r w:rsidRPr="008A3DDE">
              <w:rPr>
                <w:rFonts w:eastAsia="Times New Roman"/>
                <w:i/>
                <w:iCs/>
              </w:rPr>
              <w:t>Facultad de Derecho, Universidad de Buenos Aires</w:t>
            </w:r>
          </w:p>
        </w:tc>
        <w:tc>
          <w:tcPr>
            <w:tcW w:w="1200" w:type="dxa"/>
            <w:tcBorders>
              <w:top w:val="nil"/>
              <w:left w:val="nil"/>
              <w:bottom w:val="single" w:sz="4" w:space="0" w:color="auto"/>
              <w:right w:val="single" w:sz="4" w:space="0" w:color="auto"/>
            </w:tcBorders>
            <w:shd w:val="clear" w:color="auto" w:fill="auto"/>
            <w:noWrap/>
            <w:vAlign w:val="center"/>
            <w:hideMark/>
          </w:tcPr>
          <w:p w14:paraId="1146F497" w14:textId="77777777" w:rsidR="000D52B4" w:rsidRPr="000D52B4" w:rsidRDefault="000D52B4" w:rsidP="000D52B4">
            <w:pPr>
              <w:spacing w:after="0" w:line="240" w:lineRule="auto"/>
              <w:jc w:val="right"/>
              <w:rPr>
                <w:rFonts w:eastAsia="Times New Roman"/>
              </w:rPr>
            </w:pPr>
            <w:r w:rsidRPr="000D52B4">
              <w:rPr>
                <w:rFonts w:eastAsia="Times New Roman"/>
              </w:rPr>
              <w:t>2018</w:t>
            </w:r>
          </w:p>
        </w:tc>
      </w:tr>
      <w:tr w:rsidR="000D52B4" w:rsidRPr="000D52B4" w14:paraId="60869DCD" w14:textId="77777777" w:rsidTr="000D52B4">
        <w:trPr>
          <w:trHeight w:val="600"/>
        </w:trPr>
        <w:tc>
          <w:tcPr>
            <w:tcW w:w="5180" w:type="dxa"/>
            <w:tcBorders>
              <w:top w:val="nil"/>
              <w:left w:val="single" w:sz="4" w:space="0" w:color="auto"/>
              <w:bottom w:val="single" w:sz="4" w:space="0" w:color="auto"/>
              <w:right w:val="single" w:sz="4" w:space="0" w:color="auto"/>
            </w:tcBorders>
            <w:shd w:val="clear" w:color="000000" w:fill="EDEDED"/>
            <w:vAlign w:val="bottom"/>
            <w:hideMark/>
          </w:tcPr>
          <w:p w14:paraId="37D59D4C" w14:textId="77777777" w:rsidR="000D52B4" w:rsidRPr="008A3DDE" w:rsidRDefault="000D52B4" w:rsidP="000D52B4">
            <w:pPr>
              <w:spacing w:after="0" w:line="240" w:lineRule="auto"/>
              <w:rPr>
                <w:rFonts w:eastAsia="Times New Roman"/>
                <w:i/>
                <w:iCs/>
              </w:rPr>
            </w:pPr>
            <w:r w:rsidRPr="008A3DDE">
              <w:rPr>
                <w:rFonts w:eastAsia="Times New Roman"/>
                <w:i/>
                <w:iCs/>
              </w:rPr>
              <w:t>La traducción técnico-científica hoy: cómo enseñarla, aprenderla y ejercerla eficazmente</w:t>
            </w:r>
          </w:p>
        </w:tc>
        <w:tc>
          <w:tcPr>
            <w:tcW w:w="2900" w:type="dxa"/>
            <w:tcBorders>
              <w:top w:val="nil"/>
              <w:left w:val="nil"/>
              <w:bottom w:val="single" w:sz="4" w:space="0" w:color="auto"/>
              <w:right w:val="single" w:sz="4" w:space="0" w:color="auto"/>
            </w:tcBorders>
            <w:shd w:val="clear" w:color="000000" w:fill="EDEDED"/>
            <w:vAlign w:val="bottom"/>
            <w:hideMark/>
          </w:tcPr>
          <w:p w14:paraId="19003BBD" w14:textId="77777777" w:rsidR="000D52B4" w:rsidRPr="008A3DDE" w:rsidRDefault="000D52B4" w:rsidP="000D52B4">
            <w:pPr>
              <w:spacing w:after="0" w:line="240" w:lineRule="auto"/>
              <w:rPr>
                <w:rFonts w:eastAsia="Times New Roman"/>
                <w:i/>
                <w:iCs/>
              </w:rPr>
            </w:pPr>
            <w:r w:rsidRPr="008A3DDE">
              <w:rPr>
                <w:rFonts w:eastAsia="Times New Roman"/>
                <w:i/>
                <w:iCs/>
              </w:rPr>
              <w:t>Facultad de Derecho, Universidad de Buenos Aires</w:t>
            </w:r>
          </w:p>
        </w:tc>
        <w:tc>
          <w:tcPr>
            <w:tcW w:w="1200" w:type="dxa"/>
            <w:tcBorders>
              <w:top w:val="nil"/>
              <w:left w:val="nil"/>
              <w:bottom w:val="single" w:sz="4" w:space="0" w:color="auto"/>
              <w:right w:val="single" w:sz="4" w:space="0" w:color="auto"/>
            </w:tcBorders>
            <w:shd w:val="clear" w:color="000000" w:fill="EDEDED"/>
            <w:noWrap/>
            <w:vAlign w:val="center"/>
            <w:hideMark/>
          </w:tcPr>
          <w:p w14:paraId="39006DF2" w14:textId="77777777" w:rsidR="000D52B4" w:rsidRPr="000D52B4" w:rsidRDefault="000D52B4" w:rsidP="000D52B4">
            <w:pPr>
              <w:spacing w:after="0" w:line="240" w:lineRule="auto"/>
              <w:jc w:val="right"/>
              <w:rPr>
                <w:rFonts w:eastAsia="Times New Roman"/>
              </w:rPr>
            </w:pPr>
            <w:r w:rsidRPr="000D52B4">
              <w:rPr>
                <w:rFonts w:eastAsia="Times New Roman"/>
              </w:rPr>
              <w:t>2018</w:t>
            </w:r>
          </w:p>
        </w:tc>
      </w:tr>
      <w:tr w:rsidR="000D52B4" w:rsidRPr="000D52B4" w14:paraId="533F0363" w14:textId="77777777" w:rsidTr="000D52B4">
        <w:trPr>
          <w:trHeight w:val="600"/>
        </w:trPr>
        <w:tc>
          <w:tcPr>
            <w:tcW w:w="5180" w:type="dxa"/>
            <w:tcBorders>
              <w:top w:val="nil"/>
              <w:left w:val="single" w:sz="4" w:space="0" w:color="auto"/>
              <w:bottom w:val="single" w:sz="4" w:space="0" w:color="auto"/>
              <w:right w:val="single" w:sz="4" w:space="0" w:color="auto"/>
            </w:tcBorders>
            <w:shd w:val="clear" w:color="auto" w:fill="auto"/>
            <w:vAlign w:val="center"/>
            <w:hideMark/>
          </w:tcPr>
          <w:p w14:paraId="2760A6DA" w14:textId="77777777" w:rsidR="000D52B4" w:rsidRPr="008A3DDE" w:rsidRDefault="000D52B4" w:rsidP="000D52B4">
            <w:pPr>
              <w:spacing w:after="0" w:line="240" w:lineRule="auto"/>
              <w:rPr>
                <w:rFonts w:eastAsia="Times New Roman"/>
                <w:i/>
                <w:iCs/>
              </w:rPr>
            </w:pPr>
            <w:r w:rsidRPr="008A3DDE">
              <w:rPr>
                <w:rFonts w:eastAsia="Times New Roman"/>
                <w:i/>
                <w:iCs/>
              </w:rPr>
              <w:t>Cuestiones actuales sobre derecho tributario</w:t>
            </w:r>
          </w:p>
        </w:tc>
        <w:tc>
          <w:tcPr>
            <w:tcW w:w="2900" w:type="dxa"/>
            <w:tcBorders>
              <w:top w:val="nil"/>
              <w:left w:val="nil"/>
              <w:bottom w:val="single" w:sz="4" w:space="0" w:color="auto"/>
              <w:right w:val="single" w:sz="4" w:space="0" w:color="auto"/>
            </w:tcBorders>
            <w:shd w:val="clear" w:color="auto" w:fill="auto"/>
            <w:vAlign w:val="bottom"/>
            <w:hideMark/>
          </w:tcPr>
          <w:p w14:paraId="41EDC9D2" w14:textId="77777777" w:rsidR="000D52B4" w:rsidRPr="008A3DDE" w:rsidRDefault="000D52B4" w:rsidP="000D52B4">
            <w:pPr>
              <w:spacing w:after="0" w:line="240" w:lineRule="auto"/>
              <w:rPr>
                <w:rFonts w:eastAsia="Times New Roman"/>
                <w:i/>
                <w:iCs/>
              </w:rPr>
            </w:pPr>
            <w:r w:rsidRPr="008A3DDE">
              <w:rPr>
                <w:rFonts w:eastAsia="Times New Roman"/>
                <w:i/>
                <w:iCs/>
              </w:rPr>
              <w:t>Facultad de Derecho, Universidad de Buenos Aires</w:t>
            </w:r>
          </w:p>
        </w:tc>
        <w:tc>
          <w:tcPr>
            <w:tcW w:w="1200" w:type="dxa"/>
            <w:tcBorders>
              <w:top w:val="nil"/>
              <w:left w:val="nil"/>
              <w:bottom w:val="single" w:sz="4" w:space="0" w:color="auto"/>
              <w:right w:val="single" w:sz="4" w:space="0" w:color="auto"/>
            </w:tcBorders>
            <w:shd w:val="clear" w:color="auto" w:fill="auto"/>
            <w:noWrap/>
            <w:vAlign w:val="center"/>
            <w:hideMark/>
          </w:tcPr>
          <w:p w14:paraId="5A6441D9" w14:textId="77777777" w:rsidR="000D52B4" w:rsidRPr="000D52B4" w:rsidRDefault="000D52B4" w:rsidP="000D52B4">
            <w:pPr>
              <w:spacing w:after="0" w:line="240" w:lineRule="auto"/>
              <w:jc w:val="right"/>
              <w:rPr>
                <w:rFonts w:eastAsia="Times New Roman"/>
              </w:rPr>
            </w:pPr>
            <w:r w:rsidRPr="000D52B4">
              <w:rPr>
                <w:rFonts w:eastAsia="Times New Roman"/>
              </w:rPr>
              <w:t>2019</w:t>
            </w:r>
          </w:p>
        </w:tc>
      </w:tr>
    </w:tbl>
    <w:p w14:paraId="135732D2" w14:textId="36BFC583" w:rsidR="00F0521D" w:rsidRPr="00FA2B52" w:rsidRDefault="00F0521D" w:rsidP="00F0521D">
      <w:pPr>
        <w:spacing w:after="148"/>
        <w:rPr>
          <w:rFonts w:ascii="Book Antiqua" w:eastAsia="Book Antiqua" w:hAnsi="Book Antiqua" w:cs="Book Antiqua"/>
          <w:bCs/>
          <w:color w:val="00000A"/>
          <w:sz w:val="27"/>
          <w:szCs w:val="27"/>
        </w:rPr>
      </w:pPr>
      <w:r w:rsidRPr="00290FD7">
        <w:rPr>
          <w:rFonts w:ascii="Book Antiqua" w:eastAsia="Book Antiqua" w:hAnsi="Book Antiqua" w:cs="Book Antiqua"/>
          <w:bCs/>
          <w:color w:val="00000A"/>
          <w:sz w:val="27"/>
          <w:szCs w:val="27"/>
        </w:rPr>
        <w:br/>
      </w:r>
    </w:p>
    <w:p w14:paraId="1DE2040D" w14:textId="02D9B5C7" w:rsidR="006202F2" w:rsidRDefault="006202F2">
      <w:r>
        <w:br w:type="page"/>
      </w:r>
    </w:p>
    <w:p w14:paraId="751F500F" w14:textId="3C12BF41" w:rsidR="008346B2" w:rsidRPr="006202F2" w:rsidRDefault="006202F2" w:rsidP="006202F2">
      <w:pPr>
        <w:jc w:val="center"/>
        <w:rPr>
          <w:rFonts w:ascii="Book Antiqua" w:hAnsi="Book Antiqua"/>
          <w:b/>
          <w:bCs/>
          <w:sz w:val="32"/>
          <w:szCs w:val="32"/>
        </w:rPr>
      </w:pPr>
      <w:r w:rsidRPr="006202F2">
        <w:rPr>
          <w:rFonts w:ascii="Book Antiqua" w:hAnsi="Book Antiqua"/>
          <w:b/>
          <w:bCs/>
          <w:sz w:val="32"/>
          <w:szCs w:val="32"/>
        </w:rPr>
        <w:lastRenderedPageBreak/>
        <w:t>Portfolio</w:t>
      </w:r>
    </w:p>
    <w:p w14:paraId="29173FBA" w14:textId="77777777" w:rsidR="006202F2" w:rsidRPr="00FF6188" w:rsidRDefault="006202F2" w:rsidP="006202F2">
      <w:pPr>
        <w:jc w:val="both"/>
        <w:rPr>
          <w:rFonts w:ascii="Book Antiqua" w:hAnsi="Book Antiqua"/>
          <w:b/>
          <w:bCs/>
          <w:i/>
          <w:iCs/>
          <w:color w:val="1F1E1D"/>
          <w:sz w:val="32"/>
          <w:szCs w:val="32"/>
          <w:lang w:val="it-IT"/>
        </w:rPr>
      </w:pPr>
      <w:r w:rsidRPr="00FF6188">
        <w:rPr>
          <w:rFonts w:ascii="Book Antiqua" w:hAnsi="Book Antiqua"/>
          <w:b/>
          <w:bCs/>
          <w:i/>
          <w:iCs/>
          <w:color w:val="1F1E1D"/>
          <w:sz w:val="32"/>
          <w:szCs w:val="32"/>
          <w:lang w:val="it-IT"/>
        </w:rPr>
        <w:t>Verbale di Assemblea Ordinaria - Acta de Asamblea Ordinaria</w:t>
      </w:r>
    </w:p>
    <w:tbl>
      <w:tblPr>
        <w:tblW w:w="5108"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F7F1"/>
        <w:tblCellMar>
          <w:top w:w="45" w:type="dxa"/>
          <w:left w:w="45" w:type="dxa"/>
          <w:bottom w:w="45" w:type="dxa"/>
          <w:right w:w="45" w:type="dxa"/>
        </w:tblCellMar>
        <w:tblLook w:val="04A0" w:firstRow="1" w:lastRow="0" w:firstColumn="1" w:lastColumn="0" w:noHBand="0" w:noVBand="1"/>
      </w:tblPr>
      <w:tblGrid>
        <w:gridCol w:w="4531"/>
        <w:gridCol w:w="4727"/>
      </w:tblGrid>
      <w:tr w:rsidR="006202F2" w:rsidRPr="00F060AA" w14:paraId="6CCE14DB" w14:textId="77777777" w:rsidTr="0079581E">
        <w:trPr>
          <w:tblCellSpacing w:w="7" w:type="dxa"/>
        </w:trPr>
        <w:tc>
          <w:tcPr>
            <w:tcW w:w="2436" w:type="pct"/>
            <w:shd w:val="clear" w:color="auto" w:fill="F8F7F1"/>
            <w:hideMark/>
          </w:tcPr>
          <w:p w14:paraId="7BF47C90" w14:textId="77777777" w:rsidR="006202F2" w:rsidRPr="00F060AA" w:rsidRDefault="006202F2" w:rsidP="0079581E">
            <w:pPr>
              <w:spacing w:before="75" w:after="0" w:line="240" w:lineRule="auto"/>
              <w:rPr>
                <w:rFonts w:ascii="Verdana" w:eastAsia="Times New Roman" w:hAnsi="Verdana" w:cs="Times New Roman"/>
                <w:color w:val="1F1E1D"/>
                <w:sz w:val="17"/>
                <w:szCs w:val="17"/>
                <w:lang w:val="it-IT"/>
              </w:rPr>
            </w:pPr>
            <w:r>
              <w:rPr>
                <w:rFonts w:ascii="Verdana" w:eastAsia="Times New Roman" w:hAnsi="Verdana" w:cs="Times New Roman"/>
                <w:b/>
                <w:bCs/>
                <w:color w:val="1F1E1D"/>
                <w:sz w:val="17"/>
                <w:szCs w:val="17"/>
                <w:lang w:val="it-IT"/>
              </w:rPr>
              <w:t>Source Text</w:t>
            </w:r>
            <w:r w:rsidRPr="00F060AA">
              <w:rPr>
                <w:rFonts w:ascii="Verdana" w:eastAsia="Times New Roman" w:hAnsi="Verdana" w:cs="Times New Roman"/>
                <w:b/>
                <w:bCs/>
                <w:color w:val="1F1E1D"/>
                <w:sz w:val="17"/>
                <w:szCs w:val="17"/>
                <w:lang w:val="it-IT"/>
              </w:rPr>
              <w:t xml:space="preserve"> - </w:t>
            </w:r>
            <w:r>
              <w:rPr>
                <w:rFonts w:ascii="Verdana" w:eastAsia="Times New Roman" w:hAnsi="Verdana" w:cs="Times New Roman"/>
                <w:b/>
                <w:bCs/>
                <w:color w:val="1F1E1D"/>
                <w:sz w:val="17"/>
                <w:szCs w:val="17"/>
                <w:lang w:val="it-IT"/>
              </w:rPr>
              <w:t>I</w:t>
            </w:r>
            <w:r w:rsidRPr="00F060AA">
              <w:rPr>
                <w:rFonts w:ascii="Verdana" w:eastAsia="Times New Roman" w:hAnsi="Verdana" w:cs="Times New Roman"/>
                <w:b/>
                <w:bCs/>
                <w:color w:val="1F1E1D"/>
                <w:sz w:val="17"/>
                <w:szCs w:val="17"/>
                <w:lang w:val="it-IT"/>
              </w:rPr>
              <w:t>talian</w:t>
            </w:r>
            <w:r w:rsidRPr="00F060AA">
              <w:rPr>
                <w:rFonts w:ascii="Verdana" w:eastAsia="Times New Roman" w:hAnsi="Verdana" w:cs="Times New Roman"/>
                <w:color w:val="1F1E1D"/>
                <w:sz w:val="17"/>
                <w:szCs w:val="17"/>
                <w:lang w:val="it-IT"/>
              </w:rPr>
              <w:br/>
              <w:t>L’anno duemiladiciannove il giorno 28 del mese di maggio alle ore 08.30, si è riunita in seconda convocazione, essendo andata deserta la prima del 30 aprile 2018, presso la sede sociale in Milano – Via XXX n. 4 – a seguito di precorse intese, l’Assemblea Generale Ordinaria totalitaria degli azionisti della XXX Costruzioni S.p.A. per discutere e deliberare sul seguente</w:t>
            </w:r>
            <w:r w:rsidRPr="00F060AA">
              <w:rPr>
                <w:rFonts w:ascii="Verdana" w:eastAsia="Times New Roman" w:hAnsi="Verdana" w:cs="Times New Roman"/>
                <w:color w:val="1F1E1D"/>
                <w:sz w:val="17"/>
                <w:szCs w:val="17"/>
                <w:lang w:val="it-IT"/>
              </w:rPr>
              <w:br/>
            </w:r>
            <w:r w:rsidRPr="00F060AA">
              <w:rPr>
                <w:rFonts w:ascii="Verdana" w:eastAsia="Times New Roman" w:hAnsi="Verdana" w:cs="Times New Roman"/>
                <w:color w:val="1F1E1D"/>
                <w:sz w:val="17"/>
                <w:szCs w:val="17"/>
                <w:lang w:val="it-IT"/>
              </w:rPr>
              <w:br/>
              <w:t>ORDINE DEL GIORNO</w:t>
            </w:r>
            <w:r w:rsidRPr="00F060AA">
              <w:rPr>
                <w:rFonts w:ascii="Verdana" w:eastAsia="Times New Roman" w:hAnsi="Verdana" w:cs="Times New Roman"/>
                <w:color w:val="1F1E1D"/>
                <w:sz w:val="17"/>
                <w:szCs w:val="17"/>
                <w:lang w:val="it-IT"/>
              </w:rPr>
              <w:br/>
            </w:r>
            <w:r w:rsidRPr="00F060AA">
              <w:rPr>
                <w:rFonts w:ascii="Verdana" w:eastAsia="Times New Roman" w:hAnsi="Verdana" w:cs="Times New Roman"/>
                <w:color w:val="1F1E1D"/>
                <w:sz w:val="17"/>
                <w:szCs w:val="17"/>
                <w:lang w:val="it-IT"/>
              </w:rPr>
              <w:br/>
              <w:t>1. Approvazione della propost di Bilancio al 31.12.2017: deliberazioni inerenti e conseguenti.</w:t>
            </w:r>
            <w:r w:rsidRPr="00F060AA">
              <w:rPr>
                <w:rFonts w:ascii="Verdana" w:eastAsia="Times New Roman" w:hAnsi="Verdana" w:cs="Times New Roman"/>
                <w:color w:val="1F1E1D"/>
                <w:sz w:val="17"/>
                <w:szCs w:val="17"/>
                <w:lang w:val="it-IT"/>
              </w:rPr>
              <w:br/>
            </w:r>
            <w:r w:rsidRPr="00F060AA">
              <w:rPr>
                <w:rFonts w:ascii="Verdana" w:eastAsia="Times New Roman" w:hAnsi="Verdana" w:cs="Times New Roman"/>
                <w:color w:val="1F1E1D"/>
                <w:sz w:val="17"/>
                <w:szCs w:val="17"/>
                <w:lang w:val="it-IT"/>
              </w:rPr>
              <w:br/>
              <w:t>All’ora convenuta sono presenti i Consiglieri Signori:</w:t>
            </w:r>
            <w:r w:rsidRPr="00F060AA">
              <w:rPr>
                <w:rFonts w:ascii="Verdana" w:eastAsia="Times New Roman" w:hAnsi="Verdana" w:cs="Times New Roman"/>
                <w:color w:val="1F1E1D"/>
                <w:sz w:val="17"/>
                <w:szCs w:val="17"/>
                <w:lang w:val="it-IT"/>
              </w:rPr>
              <w:br/>
              <w:t>Sig. X - Presidente del Consiglio di Amministrazione e Amm.re Delegato</w:t>
            </w:r>
            <w:r w:rsidRPr="00F060AA">
              <w:rPr>
                <w:rFonts w:ascii="Verdana" w:eastAsia="Times New Roman" w:hAnsi="Verdana" w:cs="Times New Roman"/>
                <w:color w:val="1F1E1D"/>
                <w:sz w:val="17"/>
                <w:szCs w:val="17"/>
                <w:lang w:val="it-IT"/>
              </w:rPr>
              <w:br/>
              <w:t>Dott. Y - Amministratore Delegato</w:t>
            </w:r>
            <w:r w:rsidRPr="00F060AA">
              <w:rPr>
                <w:rFonts w:ascii="Verdana" w:eastAsia="Times New Roman" w:hAnsi="Verdana" w:cs="Times New Roman"/>
                <w:color w:val="1F1E1D"/>
                <w:sz w:val="17"/>
                <w:szCs w:val="17"/>
                <w:lang w:val="it-IT"/>
              </w:rPr>
              <w:br/>
              <w:t>Avv. Q - Amministratore</w:t>
            </w:r>
            <w:r w:rsidRPr="00F060AA">
              <w:rPr>
                <w:rFonts w:ascii="Verdana" w:eastAsia="Times New Roman" w:hAnsi="Verdana" w:cs="Times New Roman"/>
                <w:color w:val="1F1E1D"/>
                <w:sz w:val="17"/>
                <w:szCs w:val="17"/>
                <w:lang w:val="it-IT"/>
              </w:rPr>
              <w:br/>
            </w:r>
            <w:r w:rsidRPr="00F060AA">
              <w:rPr>
                <w:rFonts w:ascii="Verdana" w:eastAsia="Times New Roman" w:hAnsi="Verdana" w:cs="Times New Roman"/>
                <w:color w:val="1F1E1D"/>
                <w:sz w:val="17"/>
                <w:szCs w:val="17"/>
                <w:lang w:val="it-IT"/>
              </w:rPr>
              <w:br/>
              <w:t>Assistono collegati in audio conferenza i Sindaci Signori: Dott. X – Presidente, Dott. X e Dott. Y – Sindaci Effettivi.</w:t>
            </w:r>
            <w:r w:rsidRPr="00F060AA">
              <w:rPr>
                <w:rFonts w:ascii="Verdana" w:eastAsia="Times New Roman" w:hAnsi="Verdana" w:cs="Times New Roman"/>
                <w:color w:val="1F1E1D"/>
                <w:sz w:val="17"/>
                <w:szCs w:val="17"/>
                <w:lang w:val="it-IT"/>
              </w:rPr>
              <w:br/>
            </w:r>
            <w:r w:rsidRPr="00F060AA">
              <w:rPr>
                <w:rFonts w:ascii="Verdana" w:eastAsia="Times New Roman" w:hAnsi="Verdana" w:cs="Times New Roman"/>
                <w:color w:val="1F1E1D"/>
                <w:sz w:val="17"/>
                <w:szCs w:val="17"/>
                <w:lang w:val="it-IT"/>
              </w:rPr>
              <w:br/>
              <w:t>È rappresentato in proprio e per delega l’intero Capitale Sociale per nr. 11.000.000 azioni che sono state regolarmente depositate presso la sede sociale ai sensi di Legge e di Statuto. </w:t>
            </w:r>
            <w:r w:rsidRPr="00F060AA">
              <w:rPr>
                <w:rFonts w:ascii="Verdana" w:eastAsia="Times New Roman" w:hAnsi="Verdana" w:cs="Times New Roman"/>
                <w:color w:val="1F1E1D"/>
                <w:sz w:val="17"/>
                <w:szCs w:val="17"/>
                <w:lang w:val="it-IT"/>
              </w:rPr>
              <w:br/>
            </w:r>
            <w:r w:rsidRPr="00F060AA">
              <w:rPr>
                <w:rFonts w:ascii="Verdana" w:eastAsia="Times New Roman" w:hAnsi="Verdana" w:cs="Times New Roman"/>
                <w:color w:val="1F1E1D"/>
                <w:sz w:val="17"/>
                <w:szCs w:val="17"/>
                <w:lang w:val="it-IT"/>
              </w:rPr>
              <w:br/>
              <w:t>Assume la presidenza il Presidente del Consiglio di Amministrazione e Amministratore Delegato Sig. X.</w:t>
            </w:r>
            <w:r w:rsidRPr="00F060AA">
              <w:rPr>
                <w:rFonts w:ascii="Verdana" w:eastAsia="Times New Roman" w:hAnsi="Verdana" w:cs="Times New Roman"/>
                <w:color w:val="1F1E1D"/>
                <w:sz w:val="17"/>
                <w:szCs w:val="17"/>
                <w:lang w:val="it-IT"/>
              </w:rPr>
              <w:br/>
              <w:t>Funge da segretario su designazione dell’Assemblea il Sig. Z, il quale, presente, accetta. </w:t>
            </w:r>
            <w:r w:rsidRPr="00F060AA">
              <w:rPr>
                <w:rFonts w:ascii="Verdana" w:eastAsia="Times New Roman" w:hAnsi="Verdana" w:cs="Times New Roman"/>
                <w:color w:val="1F1E1D"/>
                <w:sz w:val="17"/>
                <w:szCs w:val="17"/>
                <w:lang w:val="it-IT"/>
              </w:rPr>
              <w:br/>
            </w:r>
            <w:r w:rsidRPr="00F060AA">
              <w:rPr>
                <w:rFonts w:ascii="Verdana" w:eastAsia="Times New Roman" w:hAnsi="Verdana" w:cs="Times New Roman"/>
                <w:color w:val="1F1E1D"/>
                <w:sz w:val="17"/>
                <w:szCs w:val="17"/>
                <w:lang w:val="it-IT"/>
              </w:rPr>
              <w:br/>
              <w:t>Il Presidente, dopo aver constatato e fatto constatare che l’Assemblea è regolarmente convocata e costituita e pienamente atta a deliberare sul proposto Ordine del Giorno, passa alla tratazione dello stesso.</w:t>
            </w:r>
            <w:r w:rsidRPr="00F060AA">
              <w:rPr>
                <w:rFonts w:ascii="Verdana" w:eastAsia="Times New Roman" w:hAnsi="Verdana" w:cs="Times New Roman"/>
                <w:color w:val="1F1E1D"/>
                <w:sz w:val="17"/>
                <w:szCs w:val="17"/>
                <w:lang w:val="it-IT"/>
              </w:rPr>
              <w:br/>
              <w:t>Relativamente al primo punto all’ordine del giorno, il Presidente, preliminarmente, informa i presenti che i Soci in data 12 aprile 2018 hanno fatto pervenire la propria rinuncia ai termini posti a loro favore dall’art. 2429 del codice civile, manlevando gli Organi di Controllo da ogni eventuale responsabilità in merito.</w:t>
            </w:r>
            <w:r w:rsidRPr="00F060AA">
              <w:rPr>
                <w:rFonts w:ascii="Verdana" w:eastAsia="Times New Roman" w:hAnsi="Verdana" w:cs="Times New Roman"/>
                <w:color w:val="1F1E1D"/>
                <w:sz w:val="17"/>
                <w:szCs w:val="17"/>
                <w:lang w:val="it-IT"/>
              </w:rPr>
              <w:br/>
              <w:t>Egli continua nella propria esposizione e, per consenso unanime, soprassiede alla lettura della proposta di bilancio al 31 dicembre 2017, composta de Stato Patrimoniale, Conto Economico, Nota Integrativa, Relazione sulla Gestione e Rendiconto Finanziario che, già distribuiti, ciascuno dei presenti dichiara di aver letto e di ben conoscere.</w:t>
            </w:r>
            <w:r w:rsidRPr="00F060AA">
              <w:rPr>
                <w:rFonts w:ascii="Verdana" w:eastAsia="Times New Roman" w:hAnsi="Verdana" w:cs="Times New Roman"/>
                <w:color w:val="1F1E1D"/>
                <w:sz w:val="17"/>
                <w:szCs w:val="17"/>
                <w:lang w:val="it-IT"/>
              </w:rPr>
              <w:br/>
              <w:t xml:space="preserve">La Società di Revisione ha predisposto la propria relazione in data 24 aprile 2018. Il Collegio Sindacale ha conseguentemente predisposto la </w:t>
            </w:r>
            <w:r w:rsidRPr="00F060AA">
              <w:rPr>
                <w:rFonts w:ascii="Verdana" w:eastAsia="Times New Roman" w:hAnsi="Verdana" w:cs="Times New Roman"/>
                <w:color w:val="1F1E1D"/>
                <w:sz w:val="17"/>
                <w:szCs w:val="17"/>
                <w:lang w:val="it-IT"/>
              </w:rPr>
              <w:lastRenderedPageBreak/>
              <w:t>propria relazione in data 26 aprile 2018. </w:t>
            </w:r>
            <w:r w:rsidRPr="00F060AA">
              <w:rPr>
                <w:rFonts w:ascii="Verdana" w:eastAsia="Times New Roman" w:hAnsi="Verdana" w:cs="Times New Roman"/>
                <w:color w:val="1F1E1D"/>
                <w:sz w:val="17"/>
                <w:szCs w:val="17"/>
                <w:lang w:val="it-IT"/>
              </w:rPr>
              <w:br/>
              <w:t>Il Presidente del Collegio Sindacale dà lettura della Relazione del Collegio stesso, che esprime parere favorevole all’approvazione del bilancio.</w:t>
            </w:r>
            <w:r w:rsidRPr="00F060AA">
              <w:rPr>
                <w:rFonts w:ascii="Verdana" w:eastAsia="Times New Roman" w:hAnsi="Verdana" w:cs="Times New Roman"/>
                <w:color w:val="1F1E1D"/>
                <w:sz w:val="17"/>
                <w:szCs w:val="17"/>
                <w:lang w:val="it-IT"/>
              </w:rPr>
              <w:br/>
              <w:t>Detti documenti vengono allegati al presente verbale. </w:t>
            </w:r>
            <w:r w:rsidRPr="00F060AA">
              <w:rPr>
                <w:rFonts w:ascii="Verdana" w:eastAsia="Times New Roman" w:hAnsi="Verdana" w:cs="Times New Roman"/>
                <w:color w:val="1F1E1D"/>
                <w:sz w:val="17"/>
                <w:szCs w:val="17"/>
                <w:lang w:val="it-IT"/>
              </w:rPr>
              <w:br/>
            </w:r>
            <w:r w:rsidRPr="00F060AA">
              <w:rPr>
                <w:rFonts w:ascii="Verdana" w:eastAsia="Times New Roman" w:hAnsi="Verdana" w:cs="Times New Roman"/>
                <w:color w:val="1F1E1D"/>
                <w:sz w:val="17"/>
                <w:szCs w:val="17"/>
                <w:lang w:val="it-IT"/>
              </w:rPr>
              <w:br/>
              <w:t>Esaurita la discussione sull’argomento, l’Assemblea degli Azionisti, all’unanimità</w:t>
            </w:r>
            <w:r w:rsidRPr="00F060AA">
              <w:rPr>
                <w:rFonts w:ascii="Verdana" w:eastAsia="Times New Roman" w:hAnsi="Verdana" w:cs="Times New Roman"/>
                <w:color w:val="1F1E1D"/>
                <w:sz w:val="17"/>
                <w:szCs w:val="17"/>
                <w:lang w:val="it-IT"/>
              </w:rPr>
              <w:br/>
            </w:r>
            <w:r w:rsidRPr="00F060AA">
              <w:rPr>
                <w:rFonts w:ascii="Verdana" w:eastAsia="Times New Roman" w:hAnsi="Verdana" w:cs="Times New Roman"/>
                <w:color w:val="1F1E1D"/>
                <w:sz w:val="17"/>
                <w:szCs w:val="17"/>
                <w:lang w:val="it-IT"/>
              </w:rPr>
              <w:br/>
              <w:t>DELIBERA</w:t>
            </w:r>
            <w:r w:rsidRPr="00F060AA">
              <w:rPr>
                <w:rFonts w:ascii="Verdana" w:eastAsia="Times New Roman" w:hAnsi="Verdana" w:cs="Times New Roman"/>
                <w:color w:val="1F1E1D"/>
                <w:sz w:val="17"/>
                <w:szCs w:val="17"/>
                <w:lang w:val="it-IT"/>
              </w:rPr>
              <w:br/>
            </w:r>
            <w:r w:rsidRPr="00F060AA">
              <w:rPr>
                <w:rFonts w:ascii="Verdana" w:eastAsia="Times New Roman" w:hAnsi="Verdana" w:cs="Times New Roman"/>
                <w:color w:val="1F1E1D"/>
                <w:sz w:val="17"/>
                <w:szCs w:val="17"/>
                <w:lang w:val="it-IT"/>
              </w:rPr>
              <w:br/>
              <w:t>- di approvare il Bilancio al 31 dicembre 2017, composto da Stato Patrimoniale, Conto Economico e Nota Integrativa e Rendiconto Finanziario</w:t>
            </w:r>
            <w:r w:rsidRPr="00F060AA">
              <w:rPr>
                <w:rFonts w:ascii="Verdana" w:eastAsia="Times New Roman" w:hAnsi="Verdana" w:cs="Times New Roman"/>
                <w:color w:val="1F1E1D"/>
                <w:sz w:val="17"/>
                <w:szCs w:val="17"/>
                <w:lang w:val="it-IT"/>
              </w:rPr>
              <w:br/>
              <w:t>- di approvare la Relazione sulla Gestione. </w:t>
            </w:r>
            <w:r w:rsidRPr="00F060AA">
              <w:rPr>
                <w:rFonts w:ascii="Verdana" w:eastAsia="Times New Roman" w:hAnsi="Verdana" w:cs="Times New Roman"/>
                <w:color w:val="1F1E1D"/>
                <w:sz w:val="17"/>
                <w:szCs w:val="17"/>
                <w:lang w:val="it-IT"/>
              </w:rPr>
              <w:br/>
            </w:r>
            <w:r w:rsidRPr="00F060AA">
              <w:rPr>
                <w:rFonts w:ascii="Verdana" w:eastAsia="Times New Roman" w:hAnsi="Verdana" w:cs="Times New Roman"/>
                <w:color w:val="1F1E1D"/>
                <w:sz w:val="17"/>
                <w:szCs w:val="17"/>
                <w:lang w:val="it-IT"/>
              </w:rPr>
              <w:br/>
              <w:t>In merito al risultato conseguito, l’Assemblea delibera di destinare l’utile d’esecizio di € 726.587 come segue: </w:t>
            </w:r>
            <w:r w:rsidRPr="00F060AA">
              <w:rPr>
                <w:rFonts w:ascii="Verdana" w:eastAsia="Times New Roman" w:hAnsi="Verdana" w:cs="Times New Roman"/>
                <w:color w:val="1F1E1D"/>
                <w:sz w:val="17"/>
                <w:szCs w:val="17"/>
                <w:lang w:val="it-IT"/>
              </w:rPr>
              <w:br/>
            </w:r>
            <w:r w:rsidRPr="00F060AA">
              <w:rPr>
                <w:rFonts w:ascii="Verdana" w:eastAsia="Times New Roman" w:hAnsi="Verdana" w:cs="Times New Roman"/>
                <w:color w:val="1F1E1D"/>
                <w:sz w:val="17"/>
                <w:szCs w:val="17"/>
                <w:lang w:val="it-IT"/>
              </w:rPr>
              <w:br/>
              <w:t>- a riserva legale per l’importo di € 36.329;</w:t>
            </w:r>
            <w:r w:rsidRPr="00F060AA">
              <w:rPr>
                <w:rFonts w:ascii="Verdana" w:eastAsia="Times New Roman" w:hAnsi="Verdana" w:cs="Times New Roman"/>
                <w:color w:val="1F1E1D"/>
                <w:sz w:val="17"/>
                <w:szCs w:val="17"/>
                <w:lang w:val="it-IT"/>
              </w:rPr>
              <w:br/>
              <w:t>- utili a nuovo per l’importo di € 690.258.</w:t>
            </w:r>
            <w:r w:rsidRPr="00F060AA">
              <w:rPr>
                <w:rFonts w:ascii="Verdana" w:eastAsia="Times New Roman" w:hAnsi="Verdana" w:cs="Times New Roman"/>
                <w:color w:val="1F1E1D"/>
                <w:sz w:val="17"/>
                <w:szCs w:val="17"/>
                <w:lang w:val="it-IT"/>
              </w:rPr>
              <w:br/>
            </w:r>
            <w:r w:rsidRPr="00F060AA">
              <w:rPr>
                <w:rFonts w:ascii="Verdana" w:eastAsia="Times New Roman" w:hAnsi="Verdana" w:cs="Times New Roman"/>
                <w:color w:val="1F1E1D"/>
                <w:sz w:val="17"/>
                <w:szCs w:val="17"/>
                <w:lang w:val="it-IT"/>
              </w:rPr>
              <w:br/>
              <w:t>Alle ore 09.00 null’altro essendovi da deliberare e nessuno chidiendo la parola, il Presidente dichiara tolta la seduta previa stesura, lettura ed approvazione del presente verbale. </w:t>
            </w:r>
          </w:p>
        </w:tc>
        <w:tc>
          <w:tcPr>
            <w:tcW w:w="2542" w:type="pct"/>
            <w:shd w:val="clear" w:color="auto" w:fill="F8F7F1"/>
            <w:hideMark/>
          </w:tcPr>
          <w:p w14:paraId="6D5B90C7" w14:textId="6C029009" w:rsidR="006202F2" w:rsidRPr="00F060AA" w:rsidRDefault="006202F2" w:rsidP="0079581E">
            <w:pPr>
              <w:spacing w:before="75" w:after="0" w:line="240" w:lineRule="auto"/>
              <w:rPr>
                <w:rFonts w:ascii="Verdana" w:eastAsia="Times New Roman" w:hAnsi="Verdana" w:cs="Times New Roman"/>
                <w:color w:val="1F1E1D"/>
                <w:sz w:val="17"/>
                <w:szCs w:val="17"/>
              </w:rPr>
            </w:pPr>
            <w:r w:rsidRPr="00F060AA">
              <w:rPr>
                <w:rFonts w:ascii="Verdana" w:eastAsia="Times New Roman" w:hAnsi="Verdana" w:cs="Times New Roman"/>
                <w:b/>
                <w:bCs/>
                <w:color w:val="1F1E1D"/>
                <w:sz w:val="17"/>
                <w:szCs w:val="17"/>
              </w:rPr>
              <w:lastRenderedPageBreak/>
              <w:t>Tra</w:t>
            </w:r>
            <w:r>
              <w:rPr>
                <w:rFonts w:ascii="Verdana" w:eastAsia="Times New Roman" w:hAnsi="Verdana" w:cs="Times New Roman"/>
                <w:b/>
                <w:bCs/>
                <w:color w:val="1F1E1D"/>
                <w:sz w:val="17"/>
                <w:szCs w:val="17"/>
              </w:rPr>
              <w:t>nslatio</w:t>
            </w:r>
            <w:r w:rsidRPr="00F060AA">
              <w:rPr>
                <w:rFonts w:ascii="Verdana" w:eastAsia="Times New Roman" w:hAnsi="Verdana" w:cs="Times New Roman"/>
                <w:b/>
                <w:bCs/>
                <w:color w:val="1F1E1D"/>
                <w:sz w:val="17"/>
                <w:szCs w:val="17"/>
              </w:rPr>
              <w:t xml:space="preserve">n - </w:t>
            </w:r>
            <w:r>
              <w:rPr>
                <w:rFonts w:ascii="Verdana" w:eastAsia="Times New Roman" w:hAnsi="Verdana" w:cs="Times New Roman"/>
                <w:b/>
                <w:bCs/>
                <w:color w:val="1F1E1D"/>
                <w:sz w:val="17"/>
                <w:szCs w:val="17"/>
              </w:rPr>
              <w:t>Spanish</w:t>
            </w:r>
            <w:r w:rsidRPr="00F060AA">
              <w:rPr>
                <w:rFonts w:ascii="Verdana" w:eastAsia="Times New Roman" w:hAnsi="Verdana" w:cs="Times New Roman"/>
                <w:color w:val="1F1E1D"/>
                <w:sz w:val="17"/>
                <w:szCs w:val="17"/>
              </w:rPr>
              <w:br/>
              <w:t>En el año dos mil diecinueve, a los 28 días del mes de mayo, a las 8:30</w:t>
            </w:r>
            <w:r w:rsidR="00DC4A0D">
              <w:rPr>
                <w:rFonts w:ascii="Verdana" w:eastAsia="Times New Roman" w:hAnsi="Verdana" w:cs="Times New Roman"/>
                <w:color w:val="1F1E1D"/>
                <w:sz w:val="17"/>
                <w:szCs w:val="17"/>
              </w:rPr>
              <w:t xml:space="preserve"> </w:t>
            </w:r>
            <w:r w:rsidRPr="00F060AA">
              <w:rPr>
                <w:rFonts w:ascii="Verdana" w:eastAsia="Times New Roman" w:hAnsi="Verdana" w:cs="Times New Roman"/>
                <w:color w:val="1F1E1D"/>
                <w:sz w:val="17"/>
                <w:szCs w:val="17"/>
              </w:rPr>
              <w:t xml:space="preserve">h, se reunió en segunda convocatoria, habiendo fracasado la primera, el 30 de abril de 2018, en Milán, en la sede social (Via </w:t>
            </w:r>
            <w:r>
              <w:rPr>
                <w:rFonts w:ascii="Verdana" w:eastAsia="Times New Roman" w:hAnsi="Verdana" w:cs="Times New Roman"/>
                <w:color w:val="1F1E1D"/>
                <w:sz w:val="17"/>
                <w:szCs w:val="17"/>
              </w:rPr>
              <w:t>xxx</w:t>
            </w:r>
            <w:r w:rsidRPr="00F060AA">
              <w:rPr>
                <w:rFonts w:ascii="Verdana" w:eastAsia="Times New Roman" w:hAnsi="Verdana" w:cs="Times New Roman"/>
                <w:color w:val="1F1E1D"/>
                <w:sz w:val="17"/>
                <w:szCs w:val="17"/>
              </w:rPr>
              <w:t xml:space="preserve"> Nº4) tras previo acuerdo, la Asamblea General Ordinaria totalitaria de los accionistas de </w:t>
            </w:r>
            <w:r>
              <w:rPr>
                <w:rFonts w:ascii="Verdana" w:eastAsia="Times New Roman" w:hAnsi="Verdana" w:cs="Times New Roman"/>
                <w:color w:val="1F1E1D"/>
                <w:sz w:val="17"/>
                <w:szCs w:val="17"/>
              </w:rPr>
              <w:t>xxx</w:t>
            </w:r>
            <w:r w:rsidRPr="00F060AA">
              <w:rPr>
                <w:rFonts w:ascii="Verdana" w:eastAsia="Times New Roman" w:hAnsi="Verdana" w:cs="Times New Roman"/>
                <w:color w:val="1F1E1D"/>
                <w:sz w:val="17"/>
                <w:szCs w:val="17"/>
              </w:rPr>
              <w:t xml:space="preserve"> Costruzioni S.p.A., para debatir y </w:t>
            </w:r>
            <w:r>
              <w:rPr>
                <w:rFonts w:ascii="Verdana" w:eastAsia="Times New Roman" w:hAnsi="Verdana" w:cs="Times New Roman"/>
                <w:color w:val="1F1E1D"/>
                <w:sz w:val="17"/>
                <w:szCs w:val="17"/>
              </w:rPr>
              <w:t>tratar</w:t>
            </w:r>
            <w:r w:rsidRPr="00F060AA">
              <w:rPr>
                <w:rFonts w:ascii="Verdana" w:eastAsia="Times New Roman" w:hAnsi="Verdana" w:cs="Times New Roman"/>
                <w:color w:val="1F1E1D"/>
                <w:sz w:val="17"/>
                <w:szCs w:val="17"/>
              </w:rPr>
              <w:t xml:space="preserve"> el siguiente</w:t>
            </w:r>
            <w:r w:rsidRPr="00F060AA">
              <w:rPr>
                <w:rFonts w:ascii="Verdana" w:eastAsia="Times New Roman" w:hAnsi="Verdana" w:cs="Times New Roman"/>
                <w:color w:val="1F1E1D"/>
                <w:sz w:val="17"/>
                <w:szCs w:val="17"/>
              </w:rPr>
              <w:br/>
            </w:r>
            <w:r w:rsidRPr="00F060AA">
              <w:rPr>
                <w:rFonts w:ascii="Verdana" w:eastAsia="Times New Roman" w:hAnsi="Verdana" w:cs="Times New Roman"/>
                <w:color w:val="1F1E1D"/>
                <w:sz w:val="17"/>
                <w:szCs w:val="17"/>
              </w:rPr>
              <w:br/>
              <w:t>ORDEN DEL DÍA</w:t>
            </w:r>
            <w:r w:rsidRPr="00F060AA">
              <w:rPr>
                <w:rFonts w:ascii="Verdana" w:eastAsia="Times New Roman" w:hAnsi="Verdana" w:cs="Times New Roman"/>
                <w:color w:val="1F1E1D"/>
                <w:sz w:val="17"/>
                <w:szCs w:val="17"/>
              </w:rPr>
              <w:br/>
            </w:r>
            <w:r w:rsidRPr="00F060AA">
              <w:rPr>
                <w:rFonts w:ascii="Verdana" w:eastAsia="Times New Roman" w:hAnsi="Verdana" w:cs="Times New Roman"/>
                <w:color w:val="1F1E1D"/>
                <w:sz w:val="17"/>
                <w:szCs w:val="17"/>
              </w:rPr>
              <w:br/>
              <w:t>1. Aprobación de la propuesta del balance al 31/12/2017: deliberaciones inherentes y consecuentes.</w:t>
            </w:r>
            <w:r w:rsidRPr="00F060AA">
              <w:rPr>
                <w:rFonts w:ascii="Verdana" w:eastAsia="Times New Roman" w:hAnsi="Verdana" w:cs="Times New Roman"/>
                <w:color w:val="1F1E1D"/>
                <w:sz w:val="17"/>
                <w:szCs w:val="17"/>
              </w:rPr>
              <w:br/>
            </w:r>
            <w:r w:rsidRPr="00F060AA">
              <w:rPr>
                <w:rFonts w:ascii="Verdana" w:eastAsia="Times New Roman" w:hAnsi="Verdana" w:cs="Times New Roman"/>
                <w:color w:val="1F1E1D"/>
                <w:sz w:val="17"/>
                <w:szCs w:val="17"/>
              </w:rPr>
              <w:br/>
              <w:t>A la hora pactada, se encuentran presentes los Sres. Directores:</w:t>
            </w:r>
            <w:r w:rsidRPr="00F060AA">
              <w:rPr>
                <w:rFonts w:ascii="Verdana" w:eastAsia="Times New Roman" w:hAnsi="Verdana" w:cs="Times New Roman"/>
                <w:color w:val="1F1E1D"/>
                <w:sz w:val="17"/>
                <w:szCs w:val="17"/>
              </w:rPr>
              <w:br/>
              <w:t>Sr. X - Presidente del Directorio y Director Delegado</w:t>
            </w:r>
            <w:r w:rsidRPr="00F060AA">
              <w:rPr>
                <w:rFonts w:ascii="Verdana" w:eastAsia="Times New Roman" w:hAnsi="Verdana" w:cs="Times New Roman"/>
                <w:color w:val="1F1E1D"/>
                <w:sz w:val="17"/>
                <w:szCs w:val="17"/>
              </w:rPr>
              <w:br/>
              <w:t>Dr. Y - Director Delegado</w:t>
            </w:r>
            <w:r w:rsidRPr="00F060AA">
              <w:rPr>
                <w:rFonts w:ascii="Verdana" w:eastAsia="Times New Roman" w:hAnsi="Verdana" w:cs="Times New Roman"/>
                <w:color w:val="1F1E1D"/>
                <w:sz w:val="17"/>
                <w:szCs w:val="17"/>
              </w:rPr>
              <w:br/>
              <w:t>Q, abogado - Director </w:t>
            </w:r>
            <w:r w:rsidRPr="00F060AA">
              <w:rPr>
                <w:rFonts w:ascii="Verdana" w:eastAsia="Times New Roman" w:hAnsi="Verdana" w:cs="Times New Roman"/>
                <w:color w:val="1F1E1D"/>
                <w:sz w:val="17"/>
                <w:szCs w:val="17"/>
              </w:rPr>
              <w:br/>
            </w:r>
            <w:r w:rsidRPr="00F060AA">
              <w:rPr>
                <w:rFonts w:ascii="Verdana" w:eastAsia="Times New Roman" w:hAnsi="Verdana" w:cs="Times New Roman"/>
                <w:color w:val="1F1E1D"/>
                <w:sz w:val="17"/>
                <w:szCs w:val="17"/>
              </w:rPr>
              <w:br/>
              <w:t>Asisten, conectados por audioconferencia, los Sres. Síndicos: Dr. X, Presidente, Dr. X y Dr. Y, Síndicos Titulares. </w:t>
            </w:r>
            <w:r w:rsidRPr="00F060AA">
              <w:rPr>
                <w:rFonts w:ascii="Verdana" w:eastAsia="Times New Roman" w:hAnsi="Verdana" w:cs="Times New Roman"/>
                <w:color w:val="1F1E1D"/>
                <w:sz w:val="17"/>
                <w:szCs w:val="17"/>
              </w:rPr>
              <w:br/>
            </w:r>
            <w:r w:rsidRPr="00F060AA">
              <w:rPr>
                <w:rFonts w:ascii="Verdana" w:eastAsia="Times New Roman" w:hAnsi="Verdana" w:cs="Times New Roman"/>
                <w:color w:val="1F1E1D"/>
                <w:sz w:val="17"/>
                <w:szCs w:val="17"/>
              </w:rPr>
              <w:br/>
              <w:t>Se encuentra representado, por representación de terceros y de los socios mismos, el total del capital social, por 11.000.000 de acciones, que fueron debidamente depositadas en la sede social, conforme las disposiciones de la Ley y del Estatuto. </w:t>
            </w:r>
            <w:r w:rsidRPr="00F060AA">
              <w:rPr>
                <w:rFonts w:ascii="Verdana" w:eastAsia="Times New Roman" w:hAnsi="Verdana" w:cs="Times New Roman"/>
                <w:color w:val="1F1E1D"/>
                <w:sz w:val="17"/>
                <w:szCs w:val="17"/>
              </w:rPr>
              <w:br/>
            </w:r>
            <w:r w:rsidRPr="00F060AA">
              <w:rPr>
                <w:rFonts w:ascii="Verdana" w:eastAsia="Times New Roman" w:hAnsi="Verdana" w:cs="Times New Roman"/>
                <w:color w:val="1F1E1D"/>
                <w:sz w:val="17"/>
                <w:szCs w:val="17"/>
              </w:rPr>
              <w:br/>
              <w:t>Preside la asamblea el Presidente del Directorio y Director Delegado, el Sr. X.</w:t>
            </w:r>
            <w:r w:rsidRPr="00F060AA">
              <w:rPr>
                <w:rFonts w:ascii="Verdana" w:eastAsia="Times New Roman" w:hAnsi="Verdana" w:cs="Times New Roman"/>
                <w:color w:val="1F1E1D"/>
                <w:sz w:val="17"/>
                <w:szCs w:val="17"/>
              </w:rPr>
              <w:br/>
              <w:t>Hace las veces de secretario, por designación de la Asamblea, el Sr. Z que, estando presente, acepta. </w:t>
            </w:r>
            <w:r w:rsidRPr="00F060AA">
              <w:rPr>
                <w:rFonts w:ascii="Verdana" w:eastAsia="Times New Roman" w:hAnsi="Verdana" w:cs="Times New Roman"/>
                <w:color w:val="1F1E1D"/>
                <w:sz w:val="17"/>
                <w:szCs w:val="17"/>
              </w:rPr>
              <w:br/>
            </w:r>
            <w:r w:rsidRPr="00F060AA">
              <w:rPr>
                <w:rFonts w:ascii="Verdana" w:eastAsia="Times New Roman" w:hAnsi="Verdana" w:cs="Times New Roman"/>
                <w:color w:val="1F1E1D"/>
                <w:sz w:val="17"/>
                <w:szCs w:val="17"/>
              </w:rPr>
              <w:br/>
              <w:t>El Presidente, tras haber constatado y haber hecho constatar que la Asamblea se encuentre regularmente convocada y constituida, y en plenitud de condiciones para deliberar sobre el Orden del Día propuesto, procede al tratamiento del mentado. </w:t>
            </w:r>
            <w:r w:rsidRPr="00F060AA">
              <w:rPr>
                <w:rFonts w:ascii="Verdana" w:eastAsia="Times New Roman" w:hAnsi="Verdana" w:cs="Times New Roman"/>
                <w:color w:val="1F1E1D"/>
                <w:sz w:val="17"/>
                <w:szCs w:val="17"/>
              </w:rPr>
              <w:br/>
              <w:t>Respecto del primer punto del orden del día, el Presidente, preliminarmente, informa a los presentes que los socios, el 12 de abril de 2018, comunicaron su renuncia a las disposiciones prescriptas en su favor por el art. 2429 del Código Civil, eximiendo a los Órganos de Control de cualquier eventual responsabilidad al respecto. </w:t>
            </w:r>
            <w:r w:rsidRPr="00F060AA">
              <w:rPr>
                <w:rFonts w:ascii="Verdana" w:eastAsia="Times New Roman" w:hAnsi="Verdana" w:cs="Times New Roman"/>
                <w:color w:val="1F1E1D"/>
                <w:sz w:val="17"/>
                <w:szCs w:val="17"/>
              </w:rPr>
              <w:br/>
              <w:t>El mentado procede y, por unanimidad, se abstiene de dar lectura a la propuesta del balance al 31 de diciembre de 2017, compuesto por el estado de situación patrimonial, el estado de resultados, notas complementarias, la memoria del directorio y el estado de flujo de efectivo, los cuales, habiendo sido distribuidos previamente, cada uno de los presentes declara haber leído y conocer debidamente. </w:t>
            </w:r>
            <w:r w:rsidRPr="00F060AA">
              <w:rPr>
                <w:rFonts w:ascii="Verdana" w:eastAsia="Times New Roman" w:hAnsi="Verdana" w:cs="Times New Roman"/>
                <w:color w:val="1F1E1D"/>
                <w:sz w:val="17"/>
                <w:szCs w:val="17"/>
              </w:rPr>
              <w:br/>
              <w:t>La empresa de auditoría preparó su propio informe el 24 de abril de 2018. La Comisión Fiscalizadora, a su vez, preparó su informe el 26 de abril de 2018.</w:t>
            </w:r>
            <w:r w:rsidRPr="00F060AA">
              <w:rPr>
                <w:rFonts w:ascii="Verdana" w:eastAsia="Times New Roman" w:hAnsi="Verdana" w:cs="Times New Roman"/>
                <w:color w:val="1F1E1D"/>
                <w:sz w:val="17"/>
                <w:szCs w:val="17"/>
              </w:rPr>
              <w:br/>
              <w:t xml:space="preserve">El Presidente de la Comisión Fiscalizadora procede a la lectura del informe de dicha comisión, que se </w:t>
            </w:r>
            <w:r w:rsidRPr="00F060AA">
              <w:rPr>
                <w:rFonts w:ascii="Verdana" w:eastAsia="Times New Roman" w:hAnsi="Verdana" w:cs="Times New Roman"/>
                <w:color w:val="1F1E1D"/>
                <w:sz w:val="17"/>
                <w:szCs w:val="17"/>
              </w:rPr>
              <w:lastRenderedPageBreak/>
              <w:t>manifiesta favorable a la aprobación del balance.</w:t>
            </w:r>
            <w:r w:rsidRPr="00F060AA">
              <w:rPr>
                <w:rFonts w:ascii="Verdana" w:eastAsia="Times New Roman" w:hAnsi="Verdana" w:cs="Times New Roman"/>
                <w:color w:val="1F1E1D"/>
                <w:sz w:val="17"/>
                <w:szCs w:val="17"/>
              </w:rPr>
              <w:br/>
              <w:t>Dichos documentos se adjuntan a la presente acta.</w:t>
            </w:r>
            <w:r w:rsidRPr="00F060AA">
              <w:rPr>
                <w:rFonts w:ascii="Verdana" w:eastAsia="Times New Roman" w:hAnsi="Verdana" w:cs="Times New Roman"/>
                <w:color w:val="1F1E1D"/>
                <w:sz w:val="17"/>
                <w:szCs w:val="17"/>
              </w:rPr>
              <w:br/>
            </w:r>
            <w:r w:rsidRPr="00F060AA">
              <w:rPr>
                <w:rFonts w:ascii="Verdana" w:eastAsia="Times New Roman" w:hAnsi="Verdana" w:cs="Times New Roman"/>
                <w:color w:val="1F1E1D"/>
                <w:sz w:val="17"/>
                <w:szCs w:val="17"/>
              </w:rPr>
              <w:br/>
              <w:t>Agotado el debate respecto de dicho tema, la Asamblea de Accionistas, por unanimidad</w:t>
            </w:r>
            <w:r w:rsidRPr="00F060AA">
              <w:rPr>
                <w:rFonts w:ascii="Verdana" w:eastAsia="Times New Roman" w:hAnsi="Verdana" w:cs="Times New Roman"/>
                <w:color w:val="1F1E1D"/>
                <w:sz w:val="17"/>
                <w:szCs w:val="17"/>
              </w:rPr>
              <w:br/>
            </w:r>
            <w:r w:rsidRPr="00F060AA">
              <w:rPr>
                <w:rFonts w:ascii="Verdana" w:eastAsia="Times New Roman" w:hAnsi="Verdana" w:cs="Times New Roman"/>
                <w:color w:val="1F1E1D"/>
                <w:sz w:val="17"/>
                <w:szCs w:val="17"/>
              </w:rPr>
              <w:br/>
            </w:r>
            <w:r>
              <w:rPr>
                <w:rFonts w:ascii="Verdana" w:eastAsia="Times New Roman" w:hAnsi="Verdana" w:cs="Times New Roman"/>
                <w:color w:val="1F1E1D"/>
                <w:sz w:val="17"/>
                <w:szCs w:val="17"/>
              </w:rPr>
              <w:t>RESUELVE</w:t>
            </w:r>
            <w:r w:rsidRPr="00F060AA">
              <w:rPr>
                <w:rFonts w:ascii="Verdana" w:eastAsia="Times New Roman" w:hAnsi="Verdana" w:cs="Times New Roman"/>
                <w:color w:val="1F1E1D"/>
                <w:sz w:val="17"/>
                <w:szCs w:val="17"/>
              </w:rPr>
              <w:br/>
            </w:r>
            <w:r w:rsidRPr="00F060AA">
              <w:rPr>
                <w:rFonts w:ascii="Verdana" w:eastAsia="Times New Roman" w:hAnsi="Verdana" w:cs="Times New Roman"/>
                <w:color w:val="1F1E1D"/>
                <w:sz w:val="17"/>
                <w:szCs w:val="17"/>
              </w:rPr>
              <w:br/>
              <w:t>- aprobar el balance al 31 de diciembre de 2017, compuesto por el estado de situación patrimonial, el estado de resultados, las notas complementarias y el estado de flujo de efectivo;</w:t>
            </w:r>
            <w:r w:rsidRPr="00F060AA">
              <w:rPr>
                <w:rFonts w:ascii="Verdana" w:eastAsia="Times New Roman" w:hAnsi="Verdana" w:cs="Times New Roman"/>
                <w:color w:val="1F1E1D"/>
                <w:sz w:val="17"/>
                <w:szCs w:val="17"/>
              </w:rPr>
              <w:br/>
              <w:t>- aprobar la memoria del directorio.</w:t>
            </w:r>
            <w:r w:rsidRPr="00F060AA">
              <w:rPr>
                <w:rFonts w:ascii="Verdana" w:eastAsia="Times New Roman" w:hAnsi="Verdana" w:cs="Times New Roman"/>
                <w:color w:val="1F1E1D"/>
                <w:sz w:val="17"/>
                <w:szCs w:val="17"/>
              </w:rPr>
              <w:br/>
            </w:r>
            <w:r w:rsidRPr="00F060AA">
              <w:rPr>
                <w:rFonts w:ascii="Verdana" w:eastAsia="Times New Roman" w:hAnsi="Verdana" w:cs="Times New Roman"/>
                <w:color w:val="1F1E1D"/>
                <w:sz w:val="17"/>
                <w:szCs w:val="17"/>
              </w:rPr>
              <w:br/>
              <w:t>Respecto de los resultados obtenidos, la Asamblea decide distribuir las ganancias del ejercicio, de € 726.587, de la siguiente manera:</w:t>
            </w:r>
            <w:r w:rsidRPr="00F060AA">
              <w:rPr>
                <w:rFonts w:ascii="Verdana" w:eastAsia="Times New Roman" w:hAnsi="Verdana" w:cs="Times New Roman"/>
                <w:color w:val="1F1E1D"/>
                <w:sz w:val="17"/>
                <w:szCs w:val="17"/>
              </w:rPr>
              <w:br/>
            </w:r>
            <w:r w:rsidRPr="00F060AA">
              <w:rPr>
                <w:rFonts w:ascii="Verdana" w:eastAsia="Times New Roman" w:hAnsi="Verdana" w:cs="Times New Roman"/>
                <w:color w:val="1F1E1D"/>
                <w:sz w:val="17"/>
                <w:szCs w:val="17"/>
              </w:rPr>
              <w:br/>
              <w:t>- reserva legal, por un importe de € 36.329;</w:t>
            </w:r>
            <w:r w:rsidRPr="00F060AA">
              <w:rPr>
                <w:rFonts w:ascii="Verdana" w:eastAsia="Times New Roman" w:hAnsi="Verdana" w:cs="Times New Roman"/>
                <w:color w:val="1F1E1D"/>
                <w:sz w:val="17"/>
                <w:szCs w:val="17"/>
              </w:rPr>
              <w:br/>
              <w:t>- resultados sin asignar, por un importe de € 690.258.</w:t>
            </w:r>
            <w:r w:rsidRPr="00F060AA">
              <w:rPr>
                <w:rFonts w:ascii="Verdana" w:eastAsia="Times New Roman" w:hAnsi="Verdana" w:cs="Times New Roman"/>
                <w:color w:val="1F1E1D"/>
                <w:sz w:val="17"/>
                <w:szCs w:val="17"/>
              </w:rPr>
              <w:br/>
            </w:r>
            <w:r w:rsidRPr="00F060AA">
              <w:rPr>
                <w:rFonts w:ascii="Verdana" w:eastAsia="Times New Roman" w:hAnsi="Verdana" w:cs="Times New Roman"/>
                <w:color w:val="1F1E1D"/>
                <w:sz w:val="17"/>
                <w:szCs w:val="17"/>
              </w:rPr>
              <w:br/>
              <w:t>A las 9:00</w:t>
            </w:r>
            <w:r w:rsidR="00A24601">
              <w:rPr>
                <w:rFonts w:ascii="Verdana" w:eastAsia="Times New Roman" w:hAnsi="Verdana" w:cs="Times New Roman"/>
                <w:color w:val="1F1E1D"/>
                <w:sz w:val="17"/>
                <w:szCs w:val="17"/>
              </w:rPr>
              <w:t xml:space="preserve"> </w:t>
            </w:r>
            <w:r w:rsidRPr="00F060AA">
              <w:rPr>
                <w:rFonts w:ascii="Verdana" w:eastAsia="Times New Roman" w:hAnsi="Verdana" w:cs="Times New Roman"/>
                <w:color w:val="1F1E1D"/>
                <w:sz w:val="17"/>
                <w:szCs w:val="17"/>
              </w:rPr>
              <w:t xml:space="preserve">h, </w:t>
            </w:r>
            <w:r>
              <w:rPr>
                <w:rFonts w:ascii="Verdana" w:eastAsia="Times New Roman" w:hAnsi="Verdana" w:cs="Times New Roman"/>
                <w:color w:val="1F1E1D"/>
                <w:sz w:val="17"/>
                <w:szCs w:val="17"/>
              </w:rPr>
              <w:t>sin más puntos a tratar</w:t>
            </w:r>
            <w:r w:rsidRPr="00F060AA">
              <w:rPr>
                <w:rFonts w:ascii="Verdana" w:eastAsia="Times New Roman" w:hAnsi="Verdana" w:cs="Times New Roman"/>
                <w:color w:val="1F1E1D"/>
                <w:sz w:val="17"/>
                <w:szCs w:val="17"/>
              </w:rPr>
              <w:t>, y no habiendo pedido la palabra nadie más, el Presidente declara levantada la asamblea, previa redacción, lectura y aprobación de la presente acta.</w:t>
            </w:r>
          </w:p>
        </w:tc>
      </w:tr>
    </w:tbl>
    <w:p w14:paraId="7C96F1AD" w14:textId="2B8133C8" w:rsidR="006202F2" w:rsidRPr="00FF6188" w:rsidRDefault="006202F2" w:rsidP="006202F2">
      <w:pPr>
        <w:jc w:val="both"/>
        <w:rPr>
          <w:rFonts w:ascii="Book Antiqua" w:eastAsia="Book Antiqua" w:hAnsi="Book Antiqua" w:cs="Book Antiqua"/>
          <w:b/>
          <w:i/>
          <w:color w:val="00000A"/>
          <w:sz w:val="32"/>
        </w:rPr>
      </w:pPr>
      <w:r>
        <w:rPr>
          <w:b/>
          <w:i/>
          <w:sz w:val="32"/>
        </w:rPr>
        <w:lastRenderedPageBreak/>
        <w:br/>
      </w:r>
      <w:r w:rsidRPr="00FF6188">
        <w:rPr>
          <w:rFonts w:ascii="Book Antiqua" w:eastAsia="Book Antiqua" w:hAnsi="Book Antiqua" w:cs="Book Antiqua"/>
          <w:b/>
          <w:i/>
          <w:color w:val="00000A"/>
          <w:sz w:val="32"/>
        </w:rPr>
        <w:t xml:space="preserve">Certificat de médicament - Certificado de producto farmacéutico </w:t>
      </w:r>
      <w:r w:rsidRPr="00FF6188">
        <w:rPr>
          <w:color w:val="00000A"/>
        </w:rPr>
        <w:t xml:space="preserve">  </w:t>
      </w:r>
      <w:r>
        <w:t xml:space="preserve"> </w:t>
      </w:r>
    </w:p>
    <w:tbl>
      <w:tblPr>
        <w:tblW w:w="5000"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F7F1"/>
        <w:tblCellMar>
          <w:top w:w="45" w:type="dxa"/>
          <w:left w:w="45" w:type="dxa"/>
          <w:bottom w:w="45" w:type="dxa"/>
          <w:right w:w="45" w:type="dxa"/>
        </w:tblCellMar>
        <w:tblLook w:val="04A0" w:firstRow="1" w:lastRow="0" w:firstColumn="1" w:lastColumn="0" w:noHBand="0" w:noVBand="1"/>
      </w:tblPr>
      <w:tblGrid>
        <w:gridCol w:w="4531"/>
        <w:gridCol w:w="4531"/>
      </w:tblGrid>
      <w:tr w:rsidR="006202F2" w:rsidRPr="007D1C18" w14:paraId="4CF2DE94" w14:textId="77777777" w:rsidTr="006202F2">
        <w:trPr>
          <w:tblCellSpacing w:w="7" w:type="dxa"/>
        </w:trPr>
        <w:tc>
          <w:tcPr>
            <w:tcW w:w="2488" w:type="pct"/>
            <w:shd w:val="clear" w:color="auto" w:fill="F8F7F1"/>
            <w:hideMark/>
          </w:tcPr>
          <w:p w14:paraId="45C281D8" w14:textId="77777777" w:rsidR="006202F2" w:rsidRPr="00562808" w:rsidRDefault="006202F2" w:rsidP="0079581E">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b/>
                <w:bCs/>
                <w:color w:val="1F1E1D"/>
                <w:sz w:val="17"/>
                <w:szCs w:val="17"/>
                <w:lang w:val="fr-FR"/>
              </w:rPr>
              <w:t>Source Text - French</w:t>
            </w:r>
            <w:r w:rsidRPr="00562808">
              <w:rPr>
                <w:rFonts w:ascii="Verdana" w:eastAsia="Times New Roman" w:hAnsi="Verdana" w:cs="Times New Roman"/>
                <w:color w:val="1F1E1D"/>
                <w:sz w:val="17"/>
                <w:szCs w:val="17"/>
                <w:lang w:val="fr-FR"/>
              </w:rPr>
              <w:br/>
              <w:t>Certificat de Médicament</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Ce certificat est conforme à la présentation recommandée par l'Organisation Mondiale de la Santé (voir instructions générales et notes explicatives ci-jointes)</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Pays exportateur (certificateur) : FRANCE</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Pays importateur (sollicitant) : VENEZUELA</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N° du certificat : 009992</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Dénomination et forme pharmaceutique du médicament :</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COROTROPE 10 mg/10 ml, solution injectable IV</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1.1 Principe(s) actif(s) et quantité(s) par unité de dose ou unité de volume.</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La composition complète du médicament, y compris les excipients, est la suivante :</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Milrinone ............................................................................................ 10 mg</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Pour 10 ml de solution</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Acide lactique : 0,0107 ml</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lastRenderedPageBreak/>
              <w:t>Dextrose anhydre : 470,0000 mg</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Hydroxyde de sodium et/ou acide lactique : q.s. pH 3,2 -4,0</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Eau pour préparation injectables : q.s.p.10,00 ml</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1.2 Ce médicament fait-il l'objet d'une autorisation de mise sur le marché dans le pays exportateur ?</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a) oui/non</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b) demande en cours : oui/non</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(entourez la réponse adéquate et, le cas échéant, complétez-la).</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1.3 Ce médicament est-il commercialisé dans le pays exportateur ? oui/non</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(entourez la réponse adéquate).</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Si la réponse au point 1.2 a) est OUI, remplissez la section 2A.</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2A Médicament avec Autorisation de mise sur le marché dans le pays certificateur</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2A.1 Numéro de l'autorisation de mise sur le marché et date de délivrance :</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 Date de délivrance : AMM du 16/10/1987</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 N° d'autorisation de mise sur le marché :</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556 022-9 ou 34009 556 022 9 3 : 10 ml en ampoule (verre) Boite de 10</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2A.2 Titulaire de l'autorisation de mise sur le marché (nom et adresse) :</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SANOFI-AVENTIS FRANCE</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65 AVENUE RASPAIL</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94854 GENTILLY</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France</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2A.3 Statut du titulaire de l'autorisation de mise sur le marché : a/b/c</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(entourez la ou les réponses adéquates)</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a) est le fabricant ou l'importateur en France (rayer la mention inutile) responsable de la libération des lots</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b) participe à une des étapes de la fabrication du produit fini sans être le fabricant ou l'importateur en France (rayer la mention inutile) responsable de la libération des lots,</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c) ne participe à aucune des opérations mentionnées en a) et b).</w:t>
            </w:r>
          </w:p>
        </w:tc>
        <w:tc>
          <w:tcPr>
            <w:tcW w:w="2488" w:type="pct"/>
            <w:shd w:val="clear" w:color="auto" w:fill="F8F7F1"/>
            <w:hideMark/>
          </w:tcPr>
          <w:p w14:paraId="51FC0905" w14:textId="77777777" w:rsidR="006202F2" w:rsidRPr="007D1C18" w:rsidRDefault="006202F2" w:rsidP="0079581E">
            <w:pPr>
              <w:spacing w:before="75" w:after="0" w:line="240" w:lineRule="auto"/>
              <w:rPr>
                <w:rFonts w:ascii="Verdana" w:eastAsia="Times New Roman" w:hAnsi="Verdana" w:cs="Times New Roman"/>
                <w:color w:val="1F1E1D"/>
                <w:sz w:val="17"/>
                <w:szCs w:val="17"/>
              </w:rPr>
            </w:pPr>
            <w:r>
              <w:rPr>
                <w:rFonts w:ascii="Verdana" w:eastAsia="Times New Roman" w:hAnsi="Verdana" w:cs="Times New Roman"/>
                <w:b/>
                <w:bCs/>
                <w:color w:val="1F1E1D"/>
                <w:sz w:val="17"/>
                <w:szCs w:val="17"/>
              </w:rPr>
              <w:lastRenderedPageBreak/>
              <w:t>Translation - Spanish</w:t>
            </w:r>
            <w:r w:rsidRPr="007D1C18">
              <w:rPr>
                <w:rFonts w:ascii="Verdana" w:eastAsia="Times New Roman" w:hAnsi="Verdana" w:cs="Times New Roman"/>
                <w:color w:val="1F1E1D"/>
                <w:sz w:val="17"/>
                <w:szCs w:val="17"/>
              </w:rPr>
              <w:br/>
              <w:t>Certificado de Producto Farmacéutico</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El presente certificado se corresponde con el modelo sugerido por la Organización Mundial de la Salud (ver las disposiciones generales y las notas explicativas a continuación).</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País exportador (titular del certificado): FRANCIA</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País importador (solicitante): VENEZUELA</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N° de certificado: 009992</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Nombre y forma farmacéutica del producto:</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COROTROPE 10 mg/10 ml, solución inyectable IV</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1.1 Principio(s) activo(s) y cantidad(es) por unidad de dosis o unidad de volumen.</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La composición completa del producto, incluyendo los excipientes, es la siguiente:</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Milrinona ............................................................................................ 10 mg</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Cada 10 ml de solución</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Ácido láctico: 0,0107 ml</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Dextrosa anhidra: 470,0000 mg</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lastRenderedPageBreak/>
              <w:br/>
              <w:t>Hidróxido de sodio y/o ácido láctico: c.s. pH 3,2 -4,0</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Agua para preparaciones inyectables: c.s.p. 10,00ml</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1.2 ¿El presente producto cuenta con autorización para ser puesto en el mercado del país exportador?</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a) Sí/No</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b) Solicitud en trámite: sí/no</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(Marcar la respuesta correspondiente y, de ser necesario, completarla).</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1.3 ¿El presente producto se comercializa en el mercado del país exportador? Sí/No</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(Marcar la respuesta correspondiente).</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Si la respuesta del punto 1.2.a) es SÍ, favor de completar la sección 2A.</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2A Producto con autorización de puesta en el mercado en el país titular del certificado.</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2A.1 N° de la autorización de puesta en el mercado y fecha de emisión:</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 Fecha de emisión: Autorización de puesta en el mercado del 16/10/1987</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 N° de autorización de puesta en el mercado:</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556 022-9 ó 34009 556 022 9 3 : Ampollas (vidrio) de 10 ml. Envase de 10 unidades.</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2A.2 Titular de la autorización de puesta en el mercado (nombre y domicilio):</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SANOFI-AVENTIS FRANCE</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65 AVENUE RASPAIL</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94854 GENTILLY</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Francia</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2A.3 Condición del titular de la autorización de puesta en el mercado: a/b/c</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(Marcar la(s) respuesta(s) correspondiente(s))</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a) es el fabricante o el importador en Francia (tachar lo que no corresponda) responsable de la liberación de lotes,</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b) participa en una de las etapas de producción del producto final sin ser ni el fabricante ni el importador en Francia (tachar lo que no corresponda) responsable de la liberación de lotes,</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c) no realiza ninguna de las operaciones arriba mencionadas.</w:t>
            </w:r>
          </w:p>
        </w:tc>
      </w:tr>
    </w:tbl>
    <w:p w14:paraId="004A62D4" w14:textId="77777777" w:rsidR="006202F2" w:rsidRPr="00FF6188" w:rsidRDefault="006202F2" w:rsidP="006202F2">
      <w:pPr>
        <w:ind w:left="360"/>
        <w:jc w:val="center"/>
        <w:rPr>
          <w:rFonts w:ascii="Book Antiqua" w:eastAsia="Book Antiqua" w:hAnsi="Book Antiqua" w:cs="Book Antiqua"/>
          <w:b/>
          <w:i/>
          <w:color w:val="00000A"/>
          <w:sz w:val="32"/>
          <w:lang w:val="it-IT"/>
        </w:rPr>
      </w:pPr>
      <w:r w:rsidRPr="00FF6188">
        <w:rPr>
          <w:rFonts w:ascii="Book Antiqua" w:eastAsia="Book Antiqua" w:hAnsi="Book Antiqua" w:cs="Book Antiqua"/>
          <w:b/>
          <w:i/>
          <w:color w:val="00000A"/>
          <w:sz w:val="32"/>
          <w:lang w:val="it-IT"/>
        </w:rPr>
        <w:lastRenderedPageBreak/>
        <w:t>Istruzioni di uso – Instrucciones de uso</w:t>
      </w:r>
    </w:p>
    <w:tbl>
      <w:tblPr>
        <w:tblW w:w="5190" w:type="pct"/>
        <w:tblCellSpacing w:w="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F7F1"/>
        <w:tblCellMar>
          <w:top w:w="45" w:type="dxa"/>
          <w:left w:w="45" w:type="dxa"/>
          <w:bottom w:w="45" w:type="dxa"/>
          <w:right w:w="45" w:type="dxa"/>
        </w:tblCellMar>
        <w:tblLook w:val="04A0" w:firstRow="1" w:lastRow="0" w:firstColumn="1" w:lastColumn="0" w:noHBand="0" w:noVBand="1"/>
      </w:tblPr>
      <w:tblGrid>
        <w:gridCol w:w="4679"/>
        <w:gridCol w:w="4727"/>
      </w:tblGrid>
      <w:tr w:rsidR="006202F2" w:rsidRPr="00915B63" w14:paraId="0A03D71F" w14:textId="77777777" w:rsidTr="0079581E">
        <w:trPr>
          <w:tblCellSpacing w:w="7" w:type="dxa"/>
        </w:trPr>
        <w:tc>
          <w:tcPr>
            <w:tcW w:w="2476" w:type="pct"/>
            <w:shd w:val="clear" w:color="auto" w:fill="F8F7F1"/>
            <w:hideMark/>
          </w:tcPr>
          <w:p w14:paraId="40BE0168" w14:textId="77777777" w:rsidR="006202F2" w:rsidRPr="00915B63" w:rsidRDefault="006202F2" w:rsidP="0079581E">
            <w:pPr>
              <w:spacing w:before="75" w:after="0" w:line="240" w:lineRule="auto"/>
              <w:rPr>
                <w:rFonts w:ascii="Verdana" w:eastAsia="Times New Roman" w:hAnsi="Verdana" w:cs="Times New Roman"/>
                <w:color w:val="1F1E1D"/>
                <w:sz w:val="17"/>
                <w:szCs w:val="17"/>
                <w:lang w:val="it-IT"/>
              </w:rPr>
            </w:pPr>
            <w:r>
              <w:rPr>
                <w:rFonts w:ascii="Verdana" w:eastAsia="Times New Roman" w:hAnsi="Verdana" w:cs="Times New Roman"/>
                <w:b/>
                <w:bCs/>
                <w:color w:val="1F1E1D"/>
                <w:sz w:val="17"/>
                <w:szCs w:val="17"/>
                <w:lang w:val="it-IT"/>
              </w:rPr>
              <w:t>Source Text</w:t>
            </w:r>
            <w:r w:rsidRPr="00915B63">
              <w:rPr>
                <w:rFonts w:ascii="Verdana" w:eastAsia="Times New Roman" w:hAnsi="Verdana" w:cs="Times New Roman"/>
                <w:b/>
                <w:bCs/>
                <w:color w:val="1F1E1D"/>
                <w:sz w:val="17"/>
                <w:szCs w:val="17"/>
                <w:lang w:val="it-IT"/>
              </w:rPr>
              <w:t xml:space="preserve"> - </w:t>
            </w:r>
            <w:r>
              <w:rPr>
                <w:rFonts w:ascii="Verdana" w:eastAsia="Times New Roman" w:hAnsi="Verdana" w:cs="Times New Roman"/>
                <w:b/>
                <w:bCs/>
                <w:color w:val="1F1E1D"/>
                <w:sz w:val="17"/>
                <w:szCs w:val="17"/>
                <w:lang w:val="it-IT"/>
              </w:rPr>
              <w:t>Italian</w:t>
            </w:r>
            <w:r w:rsidRPr="00915B63">
              <w:rPr>
                <w:rFonts w:ascii="Verdana" w:eastAsia="Times New Roman" w:hAnsi="Verdana" w:cs="Times New Roman"/>
                <w:color w:val="1F1E1D"/>
                <w:sz w:val="17"/>
                <w:szCs w:val="17"/>
                <w:lang w:val="it-IT"/>
              </w:rPr>
              <w:br/>
              <w:t>Tecnico esperto per manutenzione elettrica/elettronica:</w:t>
            </w:r>
            <w:r w:rsidRPr="00915B63">
              <w:rPr>
                <w:rFonts w:ascii="Verdana" w:eastAsia="Times New Roman" w:hAnsi="Verdana" w:cs="Times New Roman"/>
                <w:color w:val="1F1E1D"/>
                <w:sz w:val="17"/>
                <w:szCs w:val="17"/>
                <w:lang w:val="it-IT"/>
              </w:rPr>
              <w:br/>
            </w:r>
            <w:r w:rsidRPr="00915B63">
              <w:rPr>
                <w:rFonts w:ascii="Verdana" w:eastAsia="Times New Roman" w:hAnsi="Verdana" w:cs="Times New Roman"/>
                <w:color w:val="1F1E1D"/>
                <w:sz w:val="17"/>
                <w:szCs w:val="17"/>
                <w:lang w:val="it-IT"/>
              </w:rPr>
              <w:br/>
              <w:t>* attività di manutenzione preventiva/correttiva su tutte le parti elettriche della macchina soggette a manutenzione o riparazione</w:t>
            </w:r>
            <w:r w:rsidRPr="00915B63">
              <w:rPr>
                <w:rFonts w:ascii="Verdana" w:eastAsia="Times New Roman" w:hAnsi="Verdana" w:cs="Times New Roman"/>
                <w:color w:val="1F1E1D"/>
                <w:sz w:val="17"/>
                <w:szCs w:val="17"/>
                <w:lang w:val="it-IT"/>
              </w:rPr>
              <w:br/>
            </w:r>
            <w:r w:rsidRPr="00915B63">
              <w:rPr>
                <w:rFonts w:ascii="Verdana" w:eastAsia="Times New Roman" w:hAnsi="Verdana" w:cs="Times New Roman"/>
                <w:color w:val="1F1E1D"/>
                <w:sz w:val="17"/>
                <w:szCs w:val="17"/>
                <w:lang w:val="it-IT"/>
              </w:rPr>
              <w:br/>
              <w:t>* accesso a tutte le parti di macchina per analisi visiva, controllo dello stato delle apparecchiature, regolazioni e tarature.</w:t>
            </w:r>
            <w:r w:rsidRPr="00915B63">
              <w:rPr>
                <w:rFonts w:ascii="Verdana" w:eastAsia="Times New Roman" w:hAnsi="Verdana" w:cs="Times New Roman"/>
                <w:color w:val="1F1E1D"/>
                <w:sz w:val="17"/>
                <w:szCs w:val="17"/>
                <w:lang w:val="it-IT"/>
              </w:rPr>
              <w:br/>
            </w:r>
            <w:r w:rsidRPr="00915B63">
              <w:rPr>
                <w:rFonts w:ascii="Verdana" w:eastAsia="Times New Roman" w:hAnsi="Verdana" w:cs="Times New Roman"/>
                <w:color w:val="1F1E1D"/>
                <w:sz w:val="17"/>
                <w:szCs w:val="17"/>
                <w:lang w:val="it-IT"/>
              </w:rPr>
              <w:br/>
              <w:t>* Tecnico qualificato in grado di condurre la macchina come l’operatore, di intervenire sulle rego-lazioni e sugli impianti elettrici per manutenzione, riparazione, e sostituzione pezzi usurati.</w:t>
            </w:r>
            <w:r w:rsidRPr="00915B63">
              <w:rPr>
                <w:rFonts w:ascii="Verdana" w:eastAsia="Times New Roman" w:hAnsi="Verdana" w:cs="Times New Roman"/>
                <w:color w:val="1F1E1D"/>
                <w:sz w:val="17"/>
                <w:szCs w:val="17"/>
                <w:lang w:val="it-IT"/>
              </w:rPr>
              <w:br/>
            </w:r>
            <w:r w:rsidRPr="00915B63">
              <w:rPr>
                <w:rFonts w:ascii="Verdana" w:eastAsia="Times New Roman" w:hAnsi="Verdana" w:cs="Times New Roman"/>
                <w:color w:val="1F1E1D"/>
                <w:sz w:val="17"/>
                <w:szCs w:val="17"/>
                <w:lang w:val="it-IT"/>
              </w:rPr>
              <w:br/>
              <w:t>* È in grado di leggere schemi elettrici, di verificare il corretto ciclo funzionale.</w:t>
            </w:r>
            <w:r w:rsidRPr="00915B63">
              <w:rPr>
                <w:rFonts w:ascii="Verdana" w:eastAsia="Times New Roman" w:hAnsi="Verdana" w:cs="Times New Roman"/>
                <w:color w:val="1F1E1D"/>
                <w:sz w:val="17"/>
                <w:szCs w:val="17"/>
                <w:lang w:val="it-IT"/>
              </w:rPr>
              <w:br/>
            </w:r>
            <w:r w:rsidRPr="00915B63">
              <w:rPr>
                <w:rFonts w:ascii="Verdana" w:eastAsia="Times New Roman" w:hAnsi="Verdana" w:cs="Times New Roman"/>
                <w:color w:val="1F1E1D"/>
                <w:sz w:val="17"/>
                <w:szCs w:val="17"/>
                <w:lang w:val="it-IT"/>
              </w:rPr>
              <w:br/>
              <w:t>* Può operare in presenza di tensione all’interno dei quadri elettrici, scatole di derivazione, appa-recchiature di controllo etc. solo se trattasi di persona idonea (PEI) (Vedasi EN50110-1 e EN50110-2).</w:t>
            </w:r>
            <w:r w:rsidRPr="00915B63">
              <w:rPr>
                <w:rFonts w:ascii="Verdana" w:eastAsia="Times New Roman" w:hAnsi="Verdana" w:cs="Times New Roman"/>
                <w:color w:val="1F1E1D"/>
                <w:sz w:val="17"/>
                <w:szCs w:val="17"/>
                <w:lang w:val="it-IT"/>
              </w:rPr>
              <w:br/>
            </w:r>
            <w:r w:rsidRPr="00915B63">
              <w:rPr>
                <w:rFonts w:ascii="Verdana" w:eastAsia="Times New Roman" w:hAnsi="Verdana" w:cs="Times New Roman"/>
                <w:color w:val="1F1E1D"/>
                <w:sz w:val="17"/>
                <w:szCs w:val="17"/>
                <w:lang w:val="it-IT"/>
              </w:rPr>
              <w:br/>
              <w:t>* Ove necessario, può dare all’operatore istruzioni per un buon utilizzo della macchina ai fini pro-duttivi.</w:t>
            </w:r>
            <w:r w:rsidRPr="00915B63">
              <w:rPr>
                <w:rFonts w:ascii="Verdana" w:eastAsia="Times New Roman" w:hAnsi="Verdana" w:cs="Times New Roman"/>
                <w:color w:val="1F1E1D"/>
                <w:sz w:val="17"/>
                <w:szCs w:val="17"/>
                <w:lang w:val="it-IT"/>
              </w:rPr>
              <w:br/>
            </w:r>
            <w:r w:rsidRPr="00915B63">
              <w:rPr>
                <w:rFonts w:ascii="Verdana" w:eastAsia="Times New Roman" w:hAnsi="Verdana" w:cs="Times New Roman"/>
                <w:color w:val="1F1E1D"/>
                <w:sz w:val="17"/>
                <w:szCs w:val="17"/>
                <w:lang w:val="it-IT"/>
              </w:rPr>
              <w:br/>
              <w:t>* Non effettua programmazione software di sistemi quali PLC (logica o sicurezza), non può modi-ficare le password di sistema.</w:t>
            </w:r>
            <w:r w:rsidRPr="00915B63">
              <w:rPr>
                <w:rFonts w:ascii="Verdana" w:eastAsia="Times New Roman" w:hAnsi="Verdana" w:cs="Times New Roman"/>
                <w:color w:val="1F1E1D"/>
                <w:sz w:val="17"/>
                <w:szCs w:val="17"/>
                <w:lang w:val="it-IT"/>
              </w:rPr>
              <w:br/>
            </w:r>
            <w:r w:rsidRPr="00915B63">
              <w:rPr>
                <w:rFonts w:ascii="Verdana" w:eastAsia="Times New Roman" w:hAnsi="Verdana" w:cs="Times New Roman"/>
                <w:color w:val="1F1E1D"/>
                <w:sz w:val="17"/>
                <w:szCs w:val="17"/>
                <w:lang w:val="it-IT"/>
              </w:rPr>
              <w:br/>
              <w:t>Tecnico esperto per manutenzione meccanica:</w:t>
            </w:r>
            <w:r w:rsidRPr="00915B63">
              <w:rPr>
                <w:rFonts w:ascii="Verdana" w:eastAsia="Times New Roman" w:hAnsi="Verdana" w:cs="Times New Roman"/>
                <w:color w:val="1F1E1D"/>
                <w:sz w:val="17"/>
                <w:szCs w:val="17"/>
                <w:lang w:val="it-IT"/>
              </w:rPr>
              <w:br/>
            </w:r>
            <w:r w:rsidRPr="00915B63">
              <w:rPr>
                <w:rFonts w:ascii="Verdana" w:eastAsia="Times New Roman" w:hAnsi="Verdana" w:cs="Times New Roman"/>
                <w:color w:val="1F1E1D"/>
                <w:sz w:val="17"/>
                <w:szCs w:val="17"/>
                <w:lang w:val="it-IT"/>
              </w:rPr>
              <w:br/>
              <w:t>* attività di manutenzione preventiva/correttiva su tutte le parti meccaniche della macchina sog-gette a manutenzione o riparazione</w:t>
            </w:r>
            <w:r w:rsidRPr="00915B63">
              <w:rPr>
                <w:rFonts w:ascii="Verdana" w:eastAsia="Times New Roman" w:hAnsi="Verdana" w:cs="Times New Roman"/>
                <w:color w:val="1F1E1D"/>
                <w:sz w:val="17"/>
                <w:szCs w:val="17"/>
                <w:lang w:val="it-IT"/>
              </w:rPr>
              <w:br/>
            </w:r>
            <w:r w:rsidRPr="00915B63">
              <w:rPr>
                <w:rFonts w:ascii="Verdana" w:eastAsia="Times New Roman" w:hAnsi="Verdana" w:cs="Times New Roman"/>
                <w:color w:val="1F1E1D"/>
                <w:sz w:val="17"/>
                <w:szCs w:val="17"/>
                <w:lang w:val="it-IT"/>
              </w:rPr>
              <w:br/>
              <w:t>* accesso a tutte le parti di macchina per analisi visiva, controllo dello stato delle apparecchiature, regolazioni e tarature.</w:t>
            </w:r>
            <w:r w:rsidRPr="00915B63">
              <w:rPr>
                <w:rFonts w:ascii="Verdana" w:eastAsia="Times New Roman" w:hAnsi="Verdana" w:cs="Times New Roman"/>
                <w:color w:val="1F1E1D"/>
                <w:sz w:val="17"/>
                <w:szCs w:val="17"/>
                <w:lang w:val="it-IT"/>
              </w:rPr>
              <w:br/>
            </w:r>
            <w:r w:rsidRPr="00915B63">
              <w:rPr>
                <w:rFonts w:ascii="Verdana" w:eastAsia="Times New Roman" w:hAnsi="Verdana" w:cs="Times New Roman"/>
                <w:color w:val="1F1E1D"/>
                <w:sz w:val="17"/>
                <w:szCs w:val="17"/>
                <w:lang w:val="it-IT"/>
              </w:rPr>
              <w:br/>
              <w:t>* Tecnico qualificato in grado di condurre la macchina come l’operatore, di intervenire sugli organi meccanici per regolazioni, manutenzioni riparazioni e sappia leggere schemi pneumatici, oleodi-namici, disegni tecnici e listati pezzi di ricambio.</w:t>
            </w:r>
            <w:r w:rsidRPr="00915B63">
              <w:rPr>
                <w:rFonts w:ascii="Verdana" w:eastAsia="Times New Roman" w:hAnsi="Verdana" w:cs="Times New Roman"/>
                <w:color w:val="1F1E1D"/>
                <w:sz w:val="17"/>
                <w:szCs w:val="17"/>
                <w:lang w:val="it-IT"/>
              </w:rPr>
              <w:br/>
            </w:r>
            <w:r w:rsidRPr="00915B63">
              <w:rPr>
                <w:rFonts w:ascii="Verdana" w:eastAsia="Times New Roman" w:hAnsi="Verdana" w:cs="Times New Roman"/>
                <w:color w:val="1F1E1D"/>
                <w:sz w:val="17"/>
                <w:szCs w:val="17"/>
                <w:lang w:val="it-IT"/>
              </w:rPr>
              <w:br/>
              <w:t>* In casi straordinari, è addestrato a far funzionare la macchina con sicurezze ridotte.</w:t>
            </w:r>
            <w:r w:rsidRPr="00915B63">
              <w:rPr>
                <w:rFonts w:ascii="Verdana" w:eastAsia="Times New Roman" w:hAnsi="Verdana" w:cs="Times New Roman"/>
                <w:color w:val="1F1E1D"/>
                <w:sz w:val="17"/>
                <w:szCs w:val="17"/>
                <w:lang w:val="it-IT"/>
              </w:rPr>
              <w:br/>
            </w:r>
            <w:r w:rsidRPr="00915B63">
              <w:rPr>
                <w:rFonts w:ascii="Verdana" w:eastAsia="Times New Roman" w:hAnsi="Verdana" w:cs="Times New Roman"/>
                <w:color w:val="1F1E1D"/>
                <w:sz w:val="17"/>
                <w:szCs w:val="17"/>
                <w:lang w:val="it-IT"/>
              </w:rPr>
              <w:br/>
              <w:t>* Non è abilitato ad intervenire su impianti elettrici sotto tensione.</w:t>
            </w:r>
            <w:r w:rsidRPr="00915B63">
              <w:rPr>
                <w:rFonts w:ascii="Verdana" w:eastAsia="Times New Roman" w:hAnsi="Verdana" w:cs="Times New Roman"/>
                <w:color w:val="1F1E1D"/>
                <w:sz w:val="17"/>
                <w:szCs w:val="17"/>
                <w:lang w:val="it-IT"/>
              </w:rPr>
              <w:br/>
            </w:r>
            <w:r w:rsidRPr="00915B63">
              <w:rPr>
                <w:rFonts w:ascii="Verdana" w:eastAsia="Times New Roman" w:hAnsi="Verdana" w:cs="Times New Roman"/>
                <w:color w:val="1F1E1D"/>
                <w:sz w:val="17"/>
                <w:szCs w:val="17"/>
                <w:lang w:val="it-IT"/>
              </w:rPr>
              <w:br/>
              <w:t>* Ove necessario, può dare all’operatore istruzioni per un buon utilizzo della macchina ai fini pro-duttivi</w:t>
            </w:r>
            <w:r w:rsidRPr="00915B63">
              <w:rPr>
                <w:rFonts w:ascii="Verdana" w:eastAsia="Times New Roman" w:hAnsi="Verdana" w:cs="Times New Roman"/>
                <w:color w:val="1F1E1D"/>
                <w:sz w:val="17"/>
                <w:szCs w:val="17"/>
                <w:lang w:val="it-IT"/>
              </w:rPr>
              <w:br/>
            </w:r>
            <w:r w:rsidRPr="00915B63">
              <w:rPr>
                <w:rFonts w:ascii="Verdana" w:eastAsia="Times New Roman" w:hAnsi="Verdana" w:cs="Times New Roman"/>
                <w:color w:val="1F1E1D"/>
                <w:sz w:val="17"/>
                <w:szCs w:val="17"/>
                <w:lang w:val="it-IT"/>
              </w:rPr>
              <w:br/>
              <w:t>Tecnico esperto software</w:t>
            </w:r>
            <w:r w:rsidRPr="00915B63">
              <w:rPr>
                <w:rFonts w:ascii="Verdana" w:eastAsia="Times New Roman" w:hAnsi="Verdana" w:cs="Times New Roman"/>
                <w:color w:val="1F1E1D"/>
                <w:sz w:val="17"/>
                <w:szCs w:val="17"/>
                <w:lang w:val="it-IT"/>
              </w:rPr>
              <w:br/>
            </w:r>
            <w:r w:rsidRPr="00915B63">
              <w:rPr>
                <w:rFonts w:ascii="Verdana" w:eastAsia="Times New Roman" w:hAnsi="Verdana" w:cs="Times New Roman"/>
                <w:color w:val="1F1E1D"/>
                <w:sz w:val="17"/>
                <w:szCs w:val="17"/>
                <w:lang w:val="it-IT"/>
              </w:rPr>
              <w:br/>
              <w:t xml:space="preserve">* attività di manutenzione preventiva/correttiva su </w:t>
            </w:r>
            <w:r w:rsidRPr="00915B63">
              <w:rPr>
                <w:rFonts w:ascii="Verdana" w:eastAsia="Times New Roman" w:hAnsi="Verdana" w:cs="Times New Roman"/>
                <w:color w:val="1F1E1D"/>
                <w:sz w:val="17"/>
                <w:szCs w:val="17"/>
                <w:lang w:val="it-IT"/>
              </w:rPr>
              <w:lastRenderedPageBreak/>
              <w:t>tutte le parti elettroniche e/o software della macchina soggette a manutenzione o riparazione;</w:t>
            </w:r>
            <w:r w:rsidRPr="00915B63">
              <w:rPr>
                <w:rFonts w:ascii="Verdana" w:eastAsia="Times New Roman" w:hAnsi="Verdana" w:cs="Times New Roman"/>
                <w:color w:val="1F1E1D"/>
                <w:sz w:val="17"/>
                <w:szCs w:val="17"/>
                <w:lang w:val="it-IT"/>
              </w:rPr>
              <w:br/>
            </w:r>
            <w:r w:rsidRPr="00915B63">
              <w:rPr>
                <w:rFonts w:ascii="Verdana" w:eastAsia="Times New Roman" w:hAnsi="Verdana" w:cs="Times New Roman"/>
                <w:color w:val="1F1E1D"/>
                <w:sz w:val="17"/>
                <w:szCs w:val="17"/>
                <w:lang w:val="it-IT"/>
              </w:rPr>
              <w:br/>
              <w:t>* accesso a tutte le parti di macchina per analisi visiva, controllo dello stato delle apparecchiature, regolazioni e tarature;</w:t>
            </w:r>
            <w:r w:rsidRPr="00915B63">
              <w:rPr>
                <w:rFonts w:ascii="Verdana" w:eastAsia="Times New Roman" w:hAnsi="Verdana" w:cs="Times New Roman"/>
                <w:color w:val="1F1E1D"/>
                <w:sz w:val="17"/>
                <w:szCs w:val="17"/>
                <w:lang w:val="it-IT"/>
              </w:rPr>
              <w:br/>
            </w:r>
            <w:r w:rsidRPr="00915B63">
              <w:rPr>
                <w:rFonts w:ascii="Verdana" w:eastAsia="Times New Roman" w:hAnsi="Verdana" w:cs="Times New Roman"/>
                <w:color w:val="1F1E1D"/>
                <w:sz w:val="17"/>
                <w:szCs w:val="17"/>
                <w:lang w:val="it-IT"/>
              </w:rPr>
              <w:br/>
              <w:t>* Tecnico qualificato dell’utilizzatore con comprovata esperienza e formazione dei sistemi basati su PLC/PC azionamenti, etc. (conoscenza programmazione, funzioni macchina etc.) per opera-zioni complesse quali modifica dati macchina, creazione programmi di lavoro, regolazione pa-rametri drive etc. in quanto a conoscenza del ciclo produttivo, tecnologico e di costruzione della macchina fornita.</w:t>
            </w:r>
            <w:r w:rsidRPr="00915B63">
              <w:rPr>
                <w:rFonts w:ascii="Verdana" w:eastAsia="Times New Roman" w:hAnsi="Verdana" w:cs="Times New Roman"/>
                <w:color w:val="1F1E1D"/>
                <w:sz w:val="17"/>
                <w:szCs w:val="17"/>
                <w:lang w:val="it-IT"/>
              </w:rPr>
              <w:br/>
            </w:r>
            <w:r w:rsidRPr="00915B63">
              <w:rPr>
                <w:rFonts w:ascii="Verdana" w:eastAsia="Times New Roman" w:hAnsi="Verdana" w:cs="Times New Roman"/>
                <w:color w:val="1F1E1D"/>
                <w:sz w:val="17"/>
                <w:szCs w:val="17"/>
                <w:lang w:val="it-IT"/>
              </w:rPr>
              <w:br/>
              <w:t>* Può operare all’interno dei quadri elettrici, scatole di derivazione, apparecchiature di controllo etc. in presenza di tensione solo se trattasi di persona idonea (PEI) (Vedasi EN50110-1 e EN 50110-2).</w:t>
            </w:r>
            <w:r w:rsidRPr="00915B63">
              <w:rPr>
                <w:rFonts w:ascii="Verdana" w:eastAsia="Times New Roman" w:hAnsi="Verdana" w:cs="Times New Roman"/>
                <w:color w:val="1F1E1D"/>
                <w:sz w:val="17"/>
                <w:szCs w:val="17"/>
                <w:lang w:val="it-IT"/>
              </w:rPr>
              <w:br/>
            </w:r>
            <w:r w:rsidRPr="00915B63">
              <w:rPr>
                <w:rFonts w:ascii="Verdana" w:eastAsia="Times New Roman" w:hAnsi="Verdana" w:cs="Times New Roman"/>
                <w:color w:val="1F1E1D"/>
                <w:sz w:val="17"/>
                <w:szCs w:val="17"/>
                <w:lang w:val="it-IT"/>
              </w:rPr>
              <w:br/>
              <w:t>* Le competenze sono di tipo elettronico e/o software.</w:t>
            </w:r>
            <w:r w:rsidRPr="00915B63">
              <w:rPr>
                <w:rFonts w:ascii="Verdana" w:eastAsia="Times New Roman" w:hAnsi="Verdana" w:cs="Times New Roman"/>
                <w:color w:val="1F1E1D"/>
                <w:sz w:val="17"/>
                <w:szCs w:val="17"/>
                <w:lang w:val="it-IT"/>
              </w:rPr>
              <w:br/>
            </w:r>
            <w:r w:rsidRPr="00915B63">
              <w:rPr>
                <w:rFonts w:ascii="Verdana" w:eastAsia="Times New Roman" w:hAnsi="Verdana" w:cs="Times New Roman"/>
                <w:color w:val="1F1E1D"/>
                <w:sz w:val="17"/>
                <w:szCs w:val="17"/>
                <w:lang w:val="it-IT"/>
              </w:rPr>
              <w:br/>
              <w:t>Addetto al trasporto, movimentazione, scarico e collocazione in sito:</w:t>
            </w:r>
            <w:r w:rsidRPr="00915B63">
              <w:rPr>
                <w:rFonts w:ascii="Verdana" w:eastAsia="Times New Roman" w:hAnsi="Verdana" w:cs="Times New Roman"/>
                <w:color w:val="1F1E1D"/>
                <w:sz w:val="17"/>
                <w:szCs w:val="17"/>
                <w:lang w:val="it-IT"/>
              </w:rPr>
              <w:br/>
            </w:r>
            <w:r w:rsidRPr="00915B63">
              <w:rPr>
                <w:rFonts w:ascii="Verdana" w:eastAsia="Times New Roman" w:hAnsi="Verdana" w:cs="Times New Roman"/>
                <w:color w:val="1F1E1D"/>
                <w:sz w:val="17"/>
                <w:szCs w:val="17"/>
                <w:lang w:val="it-IT"/>
              </w:rPr>
              <w:br/>
              <w:t>* Personale abilitato all’uso di mezzi per il sollevamento e la movimentazione di materiali e di macchine, in ottemperanza alle leggi vigenti nel paese dell’utilizzatore della macchina.</w:t>
            </w:r>
            <w:r w:rsidRPr="00915B63">
              <w:rPr>
                <w:rFonts w:ascii="Verdana" w:eastAsia="Times New Roman" w:hAnsi="Verdana" w:cs="Times New Roman"/>
                <w:color w:val="1F1E1D"/>
                <w:sz w:val="17"/>
                <w:szCs w:val="17"/>
                <w:lang w:val="it-IT"/>
              </w:rPr>
              <w:br/>
            </w:r>
            <w:r w:rsidRPr="00915B63">
              <w:rPr>
                <w:rFonts w:ascii="Verdana" w:eastAsia="Times New Roman" w:hAnsi="Verdana" w:cs="Times New Roman"/>
                <w:color w:val="1F1E1D"/>
                <w:sz w:val="17"/>
                <w:szCs w:val="17"/>
                <w:lang w:val="it-IT"/>
              </w:rPr>
              <w:br/>
              <w:t>* attività di trasporto delle parti dall’arrivo in cantiere alla posizione finale della macchina</w:t>
            </w:r>
          </w:p>
        </w:tc>
        <w:tc>
          <w:tcPr>
            <w:tcW w:w="2502" w:type="pct"/>
            <w:shd w:val="clear" w:color="auto" w:fill="F8F7F1"/>
            <w:hideMark/>
          </w:tcPr>
          <w:p w14:paraId="5448DAEF" w14:textId="77777777" w:rsidR="006202F2" w:rsidRPr="00915B63" w:rsidRDefault="006202F2" w:rsidP="0079581E">
            <w:pPr>
              <w:spacing w:before="75" w:after="0" w:line="240" w:lineRule="auto"/>
              <w:rPr>
                <w:rFonts w:ascii="Verdana" w:eastAsia="Times New Roman" w:hAnsi="Verdana" w:cs="Times New Roman"/>
                <w:color w:val="1F1E1D"/>
                <w:sz w:val="17"/>
                <w:szCs w:val="17"/>
              </w:rPr>
            </w:pPr>
            <w:r>
              <w:rPr>
                <w:rFonts w:ascii="Verdana" w:eastAsia="Times New Roman" w:hAnsi="Verdana" w:cs="Times New Roman"/>
                <w:b/>
                <w:bCs/>
                <w:color w:val="1F1E1D"/>
                <w:sz w:val="17"/>
                <w:szCs w:val="17"/>
              </w:rPr>
              <w:lastRenderedPageBreak/>
              <w:t>Translation</w:t>
            </w:r>
            <w:r w:rsidRPr="00915B63">
              <w:rPr>
                <w:rFonts w:ascii="Verdana" w:eastAsia="Times New Roman" w:hAnsi="Verdana" w:cs="Times New Roman"/>
                <w:b/>
                <w:bCs/>
                <w:color w:val="1F1E1D"/>
                <w:sz w:val="17"/>
                <w:szCs w:val="17"/>
              </w:rPr>
              <w:t xml:space="preserve"> - </w:t>
            </w:r>
            <w:r>
              <w:rPr>
                <w:rFonts w:ascii="Verdana" w:eastAsia="Times New Roman" w:hAnsi="Verdana" w:cs="Times New Roman"/>
                <w:b/>
                <w:bCs/>
                <w:color w:val="1F1E1D"/>
                <w:sz w:val="17"/>
                <w:szCs w:val="17"/>
              </w:rPr>
              <w:t>Spanish</w:t>
            </w:r>
            <w:r w:rsidRPr="00915B63">
              <w:rPr>
                <w:rFonts w:ascii="Verdana" w:eastAsia="Times New Roman" w:hAnsi="Verdana" w:cs="Times New Roman"/>
                <w:color w:val="1F1E1D"/>
                <w:sz w:val="17"/>
                <w:szCs w:val="17"/>
              </w:rPr>
              <w:br/>
              <w:t>Técnico especializado en mantenimiento eléctrico/electrónico:</w:t>
            </w:r>
            <w:r w:rsidRPr="00915B63">
              <w:rPr>
                <w:rFonts w:ascii="Verdana" w:eastAsia="Times New Roman" w:hAnsi="Verdana" w:cs="Times New Roman"/>
                <w:color w:val="1F1E1D"/>
                <w:sz w:val="17"/>
                <w:szCs w:val="17"/>
              </w:rPr>
              <w:br/>
            </w:r>
            <w:r w:rsidRPr="00915B63">
              <w:rPr>
                <w:rFonts w:ascii="Verdana" w:eastAsia="Times New Roman" w:hAnsi="Verdana" w:cs="Times New Roman"/>
                <w:color w:val="1F1E1D"/>
                <w:sz w:val="17"/>
                <w:szCs w:val="17"/>
              </w:rPr>
              <w:br/>
              <w:t>- tareas de mantenimiento preventivo/correctivo de todas las partes eléctricas de la máquina sujetas a mantenimiento o reparación</w:t>
            </w:r>
            <w:r w:rsidRPr="00915B63">
              <w:rPr>
                <w:rFonts w:ascii="Verdana" w:eastAsia="Times New Roman" w:hAnsi="Verdana" w:cs="Times New Roman"/>
                <w:color w:val="1F1E1D"/>
                <w:sz w:val="17"/>
                <w:szCs w:val="17"/>
              </w:rPr>
              <w:br/>
            </w:r>
            <w:r w:rsidRPr="00915B63">
              <w:rPr>
                <w:rFonts w:ascii="Verdana" w:eastAsia="Times New Roman" w:hAnsi="Verdana" w:cs="Times New Roman"/>
                <w:color w:val="1F1E1D"/>
                <w:sz w:val="17"/>
                <w:szCs w:val="17"/>
              </w:rPr>
              <w:br/>
              <w:t>- acceso a todas las partes de la máquina para efectuar análisis visuales, controles del estado de los aparatos, regulaciones y calibraciones. </w:t>
            </w:r>
            <w:r w:rsidRPr="00915B63">
              <w:rPr>
                <w:rFonts w:ascii="Verdana" w:eastAsia="Times New Roman" w:hAnsi="Verdana" w:cs="Times New Roman"/>
                <w:color w:val="1F1E1D"/>
                <w:sz w:val="17"/>
                <w:szCs w:val="17"/>
              </w:rPr>
              <w:br/>
            </w:r>
            <w:r w:rsidRPr="00915B63">
              <w:rPr>
                <w:rFonts w:ascii="Verdana" w:eastAsia="Times New Roman" w:hAnsi="Verdana" w:cs="Times New Roman"/>
                <w:color w:val="1F1E1D"/>
                <w:sz w:val="17"/>
                <w:szCs w:val="17"/>
              </w:rPr>
              <w:br/>
              <w:t>- Técnico calificado, al igual que el operador, para el manejo de la máquina e intervenir en las regulaciones y las instalaciones eléctricas con fines de mantenimiento, reparación y sustitución de las piezas gastadas. </w:t>
            </w:r>
            <w:r w:rsidRPr="00915B63">
              <w:rPr>
                <w:rFonts w:ascii="Verdana" w:eastAsia="Times New Roman" w:hAnsi="Verdana" w:cs="Times New Roman"/>
                <w:color w:val="1F1E1D"/>
                <w:sz w:val="17"/>
                <w:szCs w:val="17"/>
              </w:rPr>
              <w:br/>
            </w:r>
            <w:r w:rsidRPr="00915B63">
              <w:rPr>
                <w:rFonts w:ascii="Verdana" w:eastAsia="Times New Roman" w:hAnsi="Verdana" w:cs="Times New Roman"/>
                <w:color w:val="1F1E1D"/>
                <w:sz w:val="17"/>
                <w:szCs w:val="17"/>
              </w:rPr>
              <w:br/>
              <w:t>- Es capaz de interpretar esquemas eléctricos y de verificar el correcto ciclo funcional. </w:t>
            </w:r>
            <w:r w:rsidRPr="00915B63">
              <w:rPr>
                <w:rFonts w:ascii="Verdana" w:eastAsia="Times New Roman" w:hAnsi="Verdana" w:cs="Times New Roman"/>
                <w:color w:val="1F1E1D"/>
                <w:sz w:val="17"/>
                <w:szCs w:val="17"/>
              </w:rPr>
              <w:br/>
            </w:r>
            <w:r w:rsidRPr="00915B63">
              <w:rPr>
                <w:rFonts w:ascii="Verdana" w:eastAsia="Times New Roman" w:hAnsi="Verdana" w:cs="Times New Roman"/>
                <w:color w:val="1F1E1D"/>
                <w:sz w:val="17"/>
                <w:szCs w:val="17"/>
              </w:rPr>
              <w:br/>
              <w:t>- Puede operar frente a la tensión dentro de cuadros eléctricos, cajas de derivación, aparatos de control, etc., solo si se tratara de una persona idónea (PEI) (Véase EN50110-1 y EN50110-2).</w:t>
            </w:r>
            <w:r w:rsidRPr="00915B63">
              <w:rPr>
                <w:rFonts w:ascii="Verdana" w:eastAsia="Times New Roman" w:hAnsi="Verdana" w:cs="Times New Roman"/>
                <w:color w:val="1F1E1D"/>
                <w:sz w:val="17"/>
                <w:szCs w:val="17"/>
              </w:rPr>
              <w:br/>
            </w:r>
            <w:r w:rsidRPr="00915B63">
              <w:rPr>
                <w:rFonts w:ascii="Verdana" w:eastAsia="Times New Roman" w:hAnsi="Verdana" w:cs="Times New Roman"/>
                <w:color w:val="1F1E1D"/>
                <w:sz w:val="17"/>
                <w:szCs w:val="17"/>
              </w:rPr>
              <w:br/>
              <w:t>- Si fuera necesario, puede, con fines productivos, darle instrucciones útiles al buen uso de la máquina al operador. </w:t>
            </w:r>
            <w:r w:rsidRPr="00915B63">
              <w:rPr>
                <w:rFonts w:ascii="Verdana" w:eastAsia="Times New Roman" w:hAnsi="Verdana" w:cs="Times New Roman"/>
                <w:color w:val="1F1E1D"/>
                <w:sz w:val="17"/>
                <w:szCs w:val="17"/>
              </w:rPr>
              <w:br/>
            </w:r>
            <w:r w:rsidRPr="00915B63">
              <w:rPr>
                <w:rFonts w:ascii="Verdana" w:eastAsia="Times New Roman" w:hAnsi="Verdana" w:cs="Times New Roman"/>
                <w:color w:val="1F1E1D"/>
                <w:sz w:val="17"/>
                <w:szCs w:val="17"/>
              </w:rPr>
              <w:br/>
              <w:t>- No realiza programaciones de software de sistemas como PLC (lógica o seguridad), no puede modificar las contraseñas de sistema. </w:t>
            </w:r>
            <w:r w:rsidRPr="00915B63">
              <w:rPr>
                <w:rFonts w:ascii="Verdana" w:eastAsia="Times New Roman" w:hAnsi="Verdana" w:cs="Times New Roman"/>
                <w:color w:val="1F1E1D"/>
                <w:sz w:val="17"/>
                <w:szCs w:val="17"/>
              </w:rPr>
              <w:br/>
            </w:r>
            <w:r w:rsidRPr="00915B63">
              <w:rPr>
                <w:rFonts w:ascii="Verdana" w:eastAsia="Times New Roman" w:hAnsi="Verdana" w:cs="Times New Roman"/>
                <w:color w:val="1F1E1D"/>
                <w:sz w:val="17"/>
                <w:szCs w:val="17"/>
              </w:rPr>
              <w:br/>
              <w:t>Técnico especializado en mantenimiento mecánico:</w:t>
            </w:r>
            <w:r w:rsidRPr="00915B63">
              <w:rPr>
                <w:rFonts w:ascii="Verdana" w:eastAsia="Times New Roman" w:hAnsi="Verdana" w:cs="Times New Roman"/>
                <w:color w:val="1F1E1D"/>
                <w:sz w:val="17"/>
                <w:szCs w:val="17"/>
              </w:rPr>
              <w:br/>
            </w:r>
            <w:r w:rsidRPr="00915B63">
              <w:rPr>
                <w:rFonts w:ascii="Verdana" w:eastAsia="Times New Roman" w:hAnsi="Verdana" w:cs="Times New Roman"/>
                <w:color w:val="1F1E1D"/>
                <w:sz w:val="17"/>
                <w:szCs w:val="17"/>
              </w:rPr>
              <w:br/>
              <w:t>- tareas de mantenimiento preventivo/correctivo de todas las partes mecánicas de la máquina sujetas a mantenimiento o reparación</w:t>
            </w:r>
            <w:r w:rsidRPr="00915B63">
              <w:rPr>
                <w:rFonts w:ascii="Verdana" w:eastAsia="Times New Roman" w:hAnsi="Verdana" w:cs="Times New Roman"/>
                <w:color w:val="1F1E1D"/>
                <w:sz w:val="17"/>
                <w:szCs w:val="17"/>
              </w:rPr>
              <w:br/>
            </w:r>
            <w:r w:rsidRPr="00915B63">
              <w:rPr>
                <w:rFonts w:ascii="Verdana" w:eastAsia="Times New Roman" w:hAnsi="Verdana" w:cs="Times New Roman"/>
                <w:color w:val="1F1E1D"/>
                <w:sz w:val="17"/>
                <w:szCs w:val="17"/>
              </w:rPr>
              <w:br/>
              <w:t>- acceso a todas las partes de la máquina para efectuar análisis visuales, controles del estado de los aparatos, regulaciones y calibraciones. </w:t>
            </w:r>
            <w:r w:rsidRPr="00915B63">
              <w:rPr>
                <w:rFonts w:ascii="Verdana" w:eastAsia="Times New Roman" w:hAnsi="Verdana" w:cs="Times New Roman"/>
                <w:color w:val="1F1E1D"/>
                <w:sz w:val="17"/>
                <w:szCs w:val="17"/>
              </w:rPr>
              <w:br/>
            </w:r>
            <w:r w:rsidRPr="00915B63">
              <w:rPr>
                <w:rFonts w:ascii="Verdana" w:eastAsia="Times New Roman" w:hAnsi="Verdana" w:cs="Times New Roman"/>
                <w:color w:val="1F1E1D"/>
                <w:sz w:val="17"/>
                <w:szCs w:val="17"/>
              </w:rPr>
              <w:br/>
              <w:t>- Técnico calificado, capaz de manejar la máquina al igual que el operador, de intervenir en los órganos mecánicos con fines de regulación, mantenimiento y reparación, y que sepa leer esquemas neumáticos, oleodinámicos, diseños técnicos y listados de piezas de recambio. </w:t>
            </w:r>
            <w:r w:rsidRPr="00915B63">
              <w:rPr>
                <w:rFonts w:ascii="Verdana" w:eastAsia="Times New Roman" w:hAnsi="Verdana" w:cs="Times New Roman"/>
                <w:color w:val="1F1E1D"/>
                <w:sz w:val="17"/>
                <w:szCs w:val="17"/>
              </w:rPr>
              <w:br/>
            </w:r>
            <w:r w:rsidRPr="00915B63">
              <w:rPr>
                <w:rFonts w:ascii="Verdana" w:eastAsia="Times New Roman" w:hAnsi="Verdana" w:cs="Times New Roman"/>
                <w:color w:val="1F1E1D"/>
                <w:sz w:val="17"/>
                <w:szCs w:val="17"/>
              </w:rPr>
              <w:br/>
              <w:t>- En casos extraordinarios, está capacitado para accionar la máquina en condiciones de seguridad reducidas.</w:t>
            </w:r>
            <w:r w:rsidRPr="00915B63">
              <w:rPr>
                <w:rFonts w:ascii="Verdana" w:eastAsia="Times New Roman" w:hAnsi="Verdana" w:cs="Times New Roman"/>
                <w:color w:val="1F1E1D"/>
                <w:sz w:val="17"/>
                <w:szCs w:val="17"/>
              </w:rPr>
              <w:br/>
            </w:r>
            <w:r w:rsidRPr="00915B63">
              <w:rPr>
                <w:rFonts w:ascii="Verdana" w:eastAsia="Times New Roman" w:hAnsi="Verdana" w:cs="Times New Roman"/>
                <w:color w:val="1F1E1D"/>
                <w:sz w:val="17"/>
                <w:szCs w:val="17"/>
              </w:rPr>
              <w:br/>
              <w:t>- No está habilitado para intervenir en instalaciones eléctricas bajo tensión. </w:t>
            </w:r>
            <w:r w:rsidRPr="00915B63">
              <w:rPr>
                <w:rFonts w:ascii="Verdana" w:eastAsia="Times New Roman" w:hAnsi="Verdana" w:cs="Times New Roman"/>
                <w:color w:val="1F1E1D"/>
                <w:sz w:val="17"/>
                <w:szCs w:val="17"/>
              </w:rPr>
              <w:br/>
            </w:r>
            <w:r w:rsidRPr="00915B63">
              <w:rPr>
                <w:rFonts w:ascii="Verdana" w:eastAsia="Times New Roman" w:hAnsi="Verdana" w:cs="Times New Roman"/>
                <w:color w:val="1F1E1D"/>
                <w:sz w:val="17"/>
                <w:szCs w:val="17"/>
              </w:rPr>
              <w:br/>
              <w:t>- Si fuera necesario, puede, con fines productivos, darle instrucciones útiles al buen uso de la máquina al operador. </w:t>
            </w:r>
            <w:r w:rsidRPr="00915B63">
              <w:rPr>
                <w:rFonts w:ascii="Verdana" w:eastAsia="Times New Roman" w:hAnsi="Verdana" w:cs="Times New Roman"/>
                <w:color w:val="1F1E1D"/>
                <w:sz w:val="17"/>
                <w:szCs w:val="17"/>
              </w:rPr>
              <w:br/>
            </w:r>
            <w:r w:rsidRPr="00915B63">
              <w:rPr>
                <w:rFonts w:ascii="Verdana" w:eastAsia="Times New Roman" w:hAnsi="Verdana" w:cs="Times New Roman"/>
                <w:color w:val="1F1E1D"/>
                <w:sz w:val="17"/>
                <w:szCs w:val="17"/>
              </w:rPr>
              <w:br/>
              <w:t>Técnico especializado en software:</w:t>
            </w:r>
            <w:r w:rsidRPr="00915B63">
              <w:rPr>
                <w:rFonts w:ascii="Verdana" w:eastAsia="Times New Roman" w:hAnsi="Verdana" w:cs="Times New Roman"/>
                <w:color w:val="1F1E1D"/>
                <w:sz w:val="17"/>
                <w:szCs w:val="17"/>
              </w:rPr>
              <w:br/>
            </w:r>
            <w:r w:rsidRPr="00915B63">
              <w:rPr>
                <w:rFonts w:ascii="Verdana" w:eastAsia="Times New Roman" w:hAnsi="Verdana" w:cs="Times New Roman"/>
                <w:color w:val="1F1E1D"/>
                <w:sz w:val="17"/>
                <w:szCs w:val="17"/>
              </w:rPr>
              <w:lastRenderedPageBreak/>
              <w:br/>
              <w:t>- tareas de mantenimiento preventivo/correctivo de todas las partes electrónicas y/o softwares de la máquina sujetas/os a mantenimiento o reparación;</w:t>
            </w:r>
            <w:r w:rsidRPr="00915B63">
              <w:rPr>
                <w:rFonts w:ascii="Verdana" w:eastAsia="Times New Roman" w:hAnsi="Verdana" w:cs="Times New Roman"/>
                <w:color w:val="1F1E1D"/>
                <w:sz w:val="17"/>
                <w:szCs w:val="17"/>
              </w:rPr>
              <w:br/>
            </w:r>
            <w:r w:rsidRPr="00915B63">
              <w:rPr>
                <w:rFonts w:ascii="Verdana" w:eastAsia="Times New Roman" w:hAnsi="Verdana" w:cs="Times New Roman"/>
                <w:color w:val="1F1E1D"/>
                <w:sz w:val="17"/>
                <w:szCs w:val="17"/>
              </w:rPr>
              <w:br/>
              <w:t>- acceso a todas las partes de la máquina para efectuar análisis visuales, controles del estado de los aparatos, regulaciones y calibraciones; </w:t>
            </w:r>
            <w:r w:rsidRPr="00915B63">
              <w:rPr>
                <w:rFonts w:ascii="Verdana" w:eastAsia="Times New Roman" w:hAnsi="Verdana" w:cs="Times New Roman"/>
                <w:color w:val="1F1E1D"/>
                <w:sz w:val="17"/>
                <w:szCs w:val="17"/>
              </w:rPr>
              <w:br/>
            </w:r>
            <w:r w:rsidRPr="00915B63">
              <w:rPr>
                <w:rFonts w:ascii="Verdana" w:eastAsia="Times New Roman" w:hAnsi="Verdana" w:cs="Times New Roman"/>
                <w:color w:val="1F1E1D"/>
                <w:sz w:val="17"/>
                <w:szCs w:val="17"/>
              </w:rPr>
              <w:br/>
              <w:t>- Técnico calificado del usuario con experiencia comprobada y formación en sistemas basados en PLC/PC, ejecutadores, etc. (conocimiento en programación, funciones de máquina, etc.), para operaciones complejas como modificación de datos de la máquina, creación de programas de trabajo, regulación de parámetros drive, etc., basado en el conocimiento del ciclo productivo, tecnológico y de construcción de la máquina provista. </w:t>
            </w:r>
            <w:r w:rsidRPr="00915B63">
              <w:rPr>
                <w:rFonts w:ascii="Verdana" w:eastAsia="Times New Roman" w:hAnsi="Verdana" w:cs="Times New Roman"/>
                <w:color w:val="1F1E1D"/>
                <w:sz w:val="17"/>
                <w:szCs w:val="17"/>
              </w:rPr>
              <w:br/>
            </w:r>
            <w:r w:rsidRPr="00915B63">
              <w:rPr>
                <w:rFonts w:ascii="Verdana" w:eastAsia="Times New Roman" w:hAnsi="Verdana" w:cs="Times New Roman"/>
                <w:color w:val="1F1E1D"/>
                <w:sz w:val="17"/>
                <w:szCs w:val="17"/>
              </w:rPr>
              <w:br/>
              <w:t>- Puede operar frente a la tensión dentro de cuadros eléctricos, cajas de derivación, aparatos de control, etc., solo si se tratara de una persona idónea (PEI) (Véase EN50110-1 e EN 50110-2).</w:t>
            </w:r>
            <w:r w:rsidRPr="00915B63">
              <w:rPr>
                <w:rFonts w:ascii="Verdana" w:eastAsia="Times New Roman" w:hAnsi="Verdana" w:cs="Times New Roman"/>
                <w:color w:val="1F1E1D"/>
                <w:sz w:val="17"/>
                <w:szCs w:val="17"/>
              </w:rPr>
              <w:br/>
            </w:r>
            <w:r w:rsidRPr="00915B63">
              <w:rPr>
                <w:rFonts w:ascii="Verdana" w:eastAsia="Times New Roman" w:hAnsi="Verdana" w:cs="Times New Roman"/>
                <w:color w:val="1F1E1D"/>
                <w:sz w:val="17"/>
                <w:szCs w:val="17"/>
              </w:rPr>
              <w:br/>
              <w:t>- Las competencias son de tipo electrónico y/o de software. </w:t>
            </w:r>
            <w:r w:rsidRPr="00915B63">
              <w:rPr>
                <w:rFonts w:ascii="Verdana" w:eastAsia="Times New Roman" w:hAnsi="Verdana" w:cs="Times New Roman"/>
                <w:color w:val="1F1E1D"/>
                <w:sz w:val="17"/>
                <w:szCs w:val="17"/>
              </w:rPr>
              <w:br/>
            </w:r>
            <w:r w:rsidRPr="00915B63">
              <w:rPr>
                <w:rFonts w:ascii="Verdana" w:eastAsia="Times New Roman" w:hAnsi="Verdana" w:cs="Times New Roman"/>
                <w:color w:val="1F1E1D"/>
                <w:sz w:val="17"/>
                <w:szCs w:val="17"/>
              </w:rPr>
              <w:br/>
              <w:t xml:space="preserve">Encargado de transporte, </w:t>
            </w:r>
            <w:r>
              <w:rPr>
                <w:rFonts w:ascii="Verdana" w:eastAsia="Times New Roman" w:hAnsi="Verdana" w:cs="Times New Roman"/>
                <w:color w:val="1F1E1D"/>
                <w:sz w:val="17"/>
                <w:szCs w:val="17"/>
              </w:rPr>
              <w:t>desplazamiento</w:t>
            </w:r>
            <w:r w:rsidRPr="00915B63">
              <w:rPr>
                <w:rFonts w:ascii="Verdana" w:eastAsia="Times New Roman" w:hAnsi="Verdana" w:cs="Times New Roman"/>
                <w:color w:val="1F1E1D"/>
                <w:sz w:val="17"/>
                <w:szCs w:val="17"/>
              </w:rPr>
              <w:t>, descarga y colocación en el lugar: </w:t>
            </w:r>
            <w:r w:rsidRPr="00915B63">
              <w:rPr>
                <w:rFonts w:ascii="Verdana" w:eastAsia="Times New Roman" w:hAnsi="Verdana" w:cs="Times New Roman"/>
                <w:color w:val="1F1E1D"/>
                <w:sz w:val="17"/>
                <w:szCs w:val="17"/>
              </w:rPr>
              <w:br/>
            </w:r>
            <w:r w:rsidRPr="00915B63">
              <w:rPr>
                <w:rFonts w:ascii="Verdana" w:eastAsia="Times New Roman" w:hAnsi="Verdana" w:cs="Times New Roman"/>
                <w:color w:val="1F1E1D"/>
                <w:sz w:val="17"/>
                <w:szCs w:val="17"/>
              </w:rPr>
              <w:br/>
              <w:t xml:space="preserve">- Personal habilitado en el uso de medios para la carga y </w:t>
            </w:r>
            <w:r>
              <w:rPr>
                <w:rFonts w:ascii="Verdana" w:eastAsia="Times New Roman" w:hAnsi="Verdana" w:cs="Times New Roman"/>
                <w:color w:val="1F1E1D"/>
                <w:sz w:val="17"/>
                <w:szCs w:val="17"/>
              </w:rPr>
              <w:t>el desplazamiento</w:t>
            </w:r>
            <w:r w:rsidRPr="00915B63">
              <w:rPr>
                <w:rFonts w:ascii="Verdana" w:eastAsia="Times New Roman" w:hAnsi="Verdana" w:cs="Times New Roman"/>
                <w:color w:val="1F1E1D"/>
                <w:sz w:val="17"/>
                <w:szCs w:val="17"/>
              </w:rPr>
              <w:t xml:space="preserve"> de materiales y máquinas, conforme las leyes vigentes en el país del usuario de la máquina. </w:t>
            </w:r>
            <w:r w:rsidRPr="00915B63">
              <w:rPr>
                <w:rFonts w:ascii="Verdana" w:eastAsia="Times New Roman" w:hAnsi="Verdana" w:cs="Times New Roman"/>
                <w:color w:val="1F1E1D"/>
                <w:sz w:val="17"/>
                <w:szCs w:val="17"/>
              </w:rPr>
              <w:br/>
            </w:r>
            <w:r w:rsidRPr="00915B63">
              <w:rPr>
                <w:rFonts w:ascii="Verdana" w:eastAsia="Times New Roman" w:hAnsi="Verdana" w:cs="Times New Roman"/>
                <w:color w:val="1F1E1D"/>
                <w:sz w:val="17"/>
                <w:szCs w:val="17"/>
              </w:rPr>
              <w:br/>
              <w:t>- Tareas de transporte de las partes desde la llegada al taller hasta la colocación final de la máquina.</w:t>
            </w:r>
          </w:p>
        </w:tc>
      </w:tr>
    </w:tbl>
    <w:p w14:paraId="28182AEF" w14:textId="4233DE81" w:rsidR="006202F2" w:rsidRDefault="006202F2"/>
    <w:p w14:paraId="4ADC7499" w14:textId="1C477670" w:rsidR="006202F2" w:rsidRPr="006202F2" w:rsidRDefault="006202F2" w:rsidP="006202F2">
      <w:pPr>
        <w:jc w:val="both"/>
        <w:rPr>
          <w:rFonts w:ascii="Book Antiqua" w:hAnsi="Book Antiqua"/>
          <w:b/>
          <w:bCs/>
          <w:i/>
          <w:color w:val="1F1E1D"/>
          <w:sz w:val="32"/>
          <w:szCs w:val="32"/>
        </w:rPr>
      </w:pPr>
      <w:r w:rsidRPr="00FF6188">
        <w:rPr>
          <w:rFonts w:ascii="Book Antiqua" w:hAnsi="Book Antiqua"/>
          <w:b/>
          <w:bCs/>
          <w:i/>
          <w:color w:val="1F1E1D"/>
          <w:sz w:val="32"/>
          <w:szCs w:val="32"/>
          <w:lang w:val="fr-FR"/>
        </w:rPr>
        <w:t xml:space="preserve">Triptoréline pamoate microgranules lyophilisées 22.5 mg. Etude de photostabilité sur le produit fini selon l’ICH – Triptorelina pamoato microgránulos liofilizados 22,5mg. </w:t>
      </w:r>
      <w:r w:rsidRPr="00FF6188">
        <w:rPr>
          <w:rFonts w:ascii="Book Antiqua" w:hAnsi="Book Antiqua"/>
          <w:b/>
          <w:bCs/>
          <w:i/>
          <w:color w:val="1F1E1D"/>
          <w:sz w:val="32"/>
          <w:szCs w:val="32"/>
        </w:rPr>
        <w:t>Estudio de fotoestabilidad del producto terminado conforme la ICH.</w:t>
      </w:r>
    </w:p>
    <w:tbl>
      <w:tblPr>
        <w:tblW w:w="5029"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F7F1"/>
        <w:tblCellMar>
          <w:top w:w="45" w:type="dxa"/>
          <w:left w:w="45" w:type="dxa"/>
          <w:bottom w:w="45" w:type="dxa"/>
          <w:right w:w="45" w:type="dxa"/>
        </w:tblCellMar>
        <w:tblLook w:val="04A0" w:firstRow="1" w:lastRow="0" w:firstColumn="1" w:lastColumn="0" w:noHBand="0" w:noVBand="1"/>
      </w:tblPr>
      <w:tblGrid>
        <w:gridCol w:w="4530"/>
        <w:gridCol w:w="4585"/>
      </w:tblGrid>
      <w:tr w:rsidR="006202F2" w:rsidRPr="003A7509" w14:paraId="612F67A7" w14:textId="77777777" w:rsidTr="0079581E">
        <w:trPr>
          <w:tblCellSpacing w:w="7" w:type="dxa"/>
        </w:trPr>
        <w:tc>
          <w:tcPr>
            <w:tcW w:w="2474" w:type="pct"/>
            <w:shd w:val="clear" w:color="auto" w:fill="F8F7F1"/>
            <w:hideMark/>
          </w:tcPr>
          <w:p w14:paraId="0671EAC0" w14:textId="77777777" w:rsidR="006202F2" w:rsidRPr="00562808" w:rsidRDefault="006202F2" w:rsidP="0079581E">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b/>
                <w:bCs/>
                <w:color w:val="1F1E1D"/>
                <w:sz w:val="17"/>
                <w:szCs w:val="17"/>
                <w:lang w:val="fr-FR"/>
              </w:rPr>
              <w:t>Source Text - French</w:t>
            </w:r>
            <w:r w:rsidRPr="00562808">
              <w:rPr>
                <w:rFonts w:ascii="Verdana" w:eastAsia="Times New Roman" w:hAnsi="Verdana" w:cs="Times New Roman"/>
                <w:color w:val="1F1E1D"/>
                <w:sz w:val="17"/>
                <w:szCs w:val="17"/>
                <w:lang w:val="fr-FR"/>
              </w:rPr>
              <w:br/>
              <w:t>BUT</w:t>
            </w:r>
            <w:r w:rsidRPr="00562808">
              <w:rPr>
                <w:rFonts w:ascii="Verdana" w:eastAsia="Times New Roman" w:hAnsi="Verdana" w:cs="Times New Roman"/>
                <w:color w:val="1F1E1D"/>
                <w:sz w:val="17"/>
                <w:szCs w:val="17"/>
                <w:lang w:val="fr-FR"/>
              </w:rPr>
              <w:br/>
              <w:t>Déterminer la sensibilité ou non du produit fini Triptoréline pamoate formulation 22.5 mg à la lumière (photostabilité) en appliquant si nécessaire les différents niveaux prévus dans le tableau de décision contenu dans les Guidelines de l’ICH.</w:t>
            </w:r>
            <w:r w:rsidRPr="00562808">
              <w:rPr>
                <w:rFonts w:ascii="Verdana" w:eastAsia="Times New Roman" w:hAnsi="Verdana" w:cs="Times New Roman"/>
                <w:color w:val="1F1E1D"/>
                <w:sz w:val="17"/>
                <w:szCs w:val="17"/>
                <w:lang w:val="fr-FR"/>
              </w:rPr>
              <w:br/>
              <w:t>Cette étude est réalisée dans les conditions de stress à la lumière selon la Guideline ICH Q1B –</w:t>
            </w:r>
            <w:r w:rsidRPr="00562808">
              <w:rPr>
                <w:rFonts w:ascii="Verdana" w:eastAsia="Times New Roman" w:hAnsi="Verdana" w:cs="Times New Roman"/>
                <w:color w:val="1F1E1D"/>
                <w:sz w:val="17"/>
                <w:szCs w:val="17"/>
                <w:lang w:val="fr-FR"/>
              </w:rPr>
              <w:br/>
              <w:t>« Guideline for the photostability testing of new active substances and medicinal products, CPMP</w:t>
            </w:r>
            <w:r w:rsidRPr="00562808">
              <w:rPr>
                <w:rFonts w:ascii="Verdana" w:eastAsia="Times New Roman" w:hAnsi="Verdana" w:cs="Times New Roman"/>
                <w:color w:val="1F1E1D"/>
                <w:sz w:val="17"/>
                <w:szCs w:val="17"/>
                <w:lang w:val="fr-FR"/>
              </w:rPr>
              <w:br/>
              <w:t>/ ICH / 279 / 95 »</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DOMAINE D’APPLICATION</w:t>
            </w:r>
            <w:r w:rsidRPr="00562808">
              <w:rPr>
                <w:rFonts w:ascii="Verdana" w:eastAsia="Times New Roman" w:hAnsi="Verdana" w:cs="Times New Roman"/>
                <w:color w:val="1F1E1D"/>
                <w:sz w:val="17"/>
                <w:szCs w:val="17"/>
                <w:lang w:val="fr-FR"/>
              </w:rPr>
              <w:br/>
              <w:t xml:space="preserve">Cette étude est réalisée sur 66 flacons par niveau de Triptoréline pamoate microgranules lyophilisées – 22.5 mg, lot 4126M0708, soumis à une source </w:t>
            </w:r>
            <w:r w:rsidRPr="00562808">
              <w:rPr>
                <w:rFonts w:ascii="Verdana" w:eastAsia="Times New Roman" w:hAnsi="Verdana" w:cs="Times New Roman"/>
                <w:color w:val="1F1E1D"/>
                <w:sz w:val="17"/>
                <w:szCs w:val="17"/>
                <w:lang w:val="fr-FR"/>
              </w:rPr>
              <w:lastRenderedPageBreak/>
              <w:t>lumineuse, sous forme de poudre extraite des flacons (Niveau I), dans leur emballage de conditionnement primaire (flacons en verre 6 ml type I, bouchons de lyophilisation gris, bromobutyle, Pharm.</w:t>
            </w:r>
            <w:r w:rsidRPr="00562808">
              <w:rPr>
                <w:rFonts w:ascii="Verdana" w:eastAsia="Times New Roman" w:hAnsi="Verdana" w:cs="Times New Roman"/>
                <w:color w:val="1F1E1D"/>
                <w:sz w:val="17"/>
                <w:szCs w:val="17"/>
                <w:lang w:val="fr-FR"/>
              </w:rPr>
              <w:br/>
              <w:t>Eur., capsules aluminium avec Flip-Off®) (Niveau II) ou sous forme de kit commercial (Niveau III).</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DEFINITIONS</w:t>
            </w:r>
            <w:r w:rsidRPr="00562808">
              <w:rPr>
                <w:rFonts w:ascii="Verdana" w:eastAsia="Times New Roman" w:hAnsi="Verdana" w:cs="Times New Roman"/>
                <w:color w:val="1F1E1D"/>
                <w:sz w:val="17"/>
                <w:szCs w:val="17"/>
                <w:lang w:val="fr-FR"/>
              </w:rPr>
              <w:br/>
              <w:t>Exposé : fraction de produit fini ayant été en contact direct avec la source lumineuse durant le test de photostabilité.</w:t>
            </w:r>
            <w:r w:rsidRPr="00562808">
              <w:rPr>
                <w:rFonts w:ascii="Verdana" w:eastAsia="Times New Roman" w:hAnsi="Verdana" w:cs="Times New Roman"/>
                <w:color w:val="1F1E1D"/>
                <w:sz w:val="17"/>
                <w:szCs w:val="17"/>
                <w:lang w:val="fr-FR"/>
              </w:rPr>
              <w:br/>
              <w:t>Référence : fraction de produit fini ayant subit les mêmes tests que la fraction exposée, mais en ayant été protégée du rayonnement par un papier d’aluminium</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RESPONSABILITES</w:t>
            </w:r>
            <w:r w:rsidRPr="00562808">
              <w:rPr>
                <w:rFonts w:ascii="Verdana" w:eastAsia="Times New Roman" w:hAnsi="Verdana" w:cs="Times New Roman"/>
                <w:color w:val="1F1E1D"/>
                <w:sz w:val="17"/>
                <w:szCs w:val="17"/>
                <w:lang w:val="fr-FR"/>
              </w:rPr>
              <w:br/>
              <w:t>Le CQ est responsable de l’envoi dans un laboratoire externe certifié des flacons de produit fini lyophilisé.</w:t>
            </w:r>
            <w:r w:rsidRPr="00562808">
              <w:rPr>
                <w:rFonts w:ascii="Verdana" w:eastAsia="Times New Roman" w:hAnsi="Verdana" w:cs="Times New Roman"/>
                <w:color w:val="1F1E1D"/>
                <w:sz w:val="17"/>
                <w:szCs w:val="17"/>
                <w:lang w:val="fr-FR"/>
              </w:rPr>
              <w:br/>
              <w:t>Le CQ est responsable du suivi du test effectué en externe, ainsi que des analyses effectuées chez Debio, de l’évaluation des résultats obtenus, de la conduite éventuelle des niveaux II et III,</w:t>
            </w:r>
            <w:r w:rsidRPr="00562808">
              <w:rPr>
                <w:rFonts w:ascii="Verdana" w:eastAsia="Times New Roman" w:hAnsi="Verdana" w:cs="Times New Roman"/>
                <w:color w:val="1F1E1D"/>
                <w:sz w:val="17"/>
                <w:szCs w:val="17"/>
                <w:lang w:val="fr-FR"/>
              </w:rPr>
              <w:br/>
              <w:t>de la rédaction et de la transmission d’un rapport à l’AQ dans les meilleures délais suivant la fin des analyses chimiques.</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DESCRIPTION</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EQUIPEMENT</w:t>
            </w:r>
            <w:r w:rsidRPr="00562808">
              <w:rPr>
                <w:rFonts w:ascii="Verdana" w:eastAsia="Times New Roman" w:hAnsi="Verdana" w:cs="Times New Roman"/>
                <w:color w:val="1F1E1D"/>
                <w:sz w:val="17"/>
                <w:szCs w:val="17"/>
                <w:lang w:val="fr-FR"/>
              </w:rPr>
              <w:br/>
              <w:t>Appareillage Suntest CPS+, Fa.</w:t>
            </w:r>
            <w:r w:rsidRPr="00562808">
              <w:rPr>
                <w:rFonts w:ascii="Verdana" w:eastAsia="Times New Roman" w:hAnsi="Verdana" w:cs="Times New Roman"/>
                <w:color w:val="1F1E1D"/>
                <w:sz w:val="17"/>
                <w:szCs w:val="17"/>
                <w:lang w:val="fr-FR"/>
              </w:rPr>
              <w:br/>
              <w:t>Atlas, Härkingen, avec suivi de température Lampe au Xénon (série-Nr. C3) [Confarma Nr. 749]</w:t>
            </w:r>
            <w:r w:rsidRPr="00562808">
              <w:rPr>
                <w:rFonts w:ascii="Verdana" w:eastAsia="Times New Roman" w:hAnsi="Verdana" w:cs="Times New Roman"/>
                <w:color w:val="1F1E1D"/>
                <w:sz w:val="17"/>
                <w:szCs w:val="17"/>
                <w:lang w:val="fr-FR"/>
              </w:rPr>
              <w:br/>
              <w:t>PRODUITS CHIMIQUES</w:t>
            </w:r>
            <w:r w:rsidRPr="00562808">
              <w:rPr>
                <w:rFonts w:ascii="Verdana" w:eastAsia="Times New Roman" w:hAnsi="Verdana" w:cs="Times New Roman"/>
                <w:color w:val="1F1E1D"/>
                <w:sz w:val="17"/>
                <w:szCs w:val="17"/>
                <w:lang w:val="fr-FR"/>
              </w:rPr>
              <w:br/>
              <w:t>Quinine HCl dihydrate, 424604/1, Fluka</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PROCEDURE</w:t>
            </w:r>
            <w:r w:rsidRPr="00562808">
              <w:rPr>
                <w:rFonts w:ascii="Verdana" w:eastAsia="Times New Roman" w:hAnsi="Verdana" w:cs="Times New Roman"/>
                <w:color w:val="1F1E1D"/>
                <w:sz w:val="17"/>
                <w:szCs w:val="17"/>
                <w:lang w:val="fr-FR"/>
              </w:rPr>
              <w:br/>
              <w:t>Exposition à la lumière auprès d’un laboratoire externe</w:t>
            </w:r>
            <w:r w:rsidRPr="00562808">
              <w:rPr>
                <w:rFonts w:ascii="Verdana" w:eastAsia="Times New Roman" w:hAnsi="Verdana" w:cs="Times New Roman"/>
                <w:color w:val="1F1E1D"/>
                <w:sz w:val="17"/>
                <w:szCs w:val="17"/>
                <w:lang w:val="fr-FR"/>
              </w:rPr>
              <w:br/>
              <w:t>Niveau I :</w:t>
            </w:r>
            <w:r w:rsidRPr="00562808">
              <w:rPr>
                <w:rFonts w:ascii="Verdana" w:eastAsia="Times New Roman" w:hAnsi="Verdana" w:cs="Times New Roman"/>
                <w:color w:val="1F1E1D"/>
                <w:sz w:val="17"/>
                <w:szCs w:val="17"/>
                <w:lang w:val="fr-FR"/>
              </w:rPr>
              <w:br/>
              <w:t>Les échantillons de produit fini, sous forme lyophilisée (66 flacons) sont extraits des flacons, mélangés et homogénéisés dans un grand bécher jusqu’à l’obtention d’une fine poudre blanche.</w:t>
            </w:r>
            <w:r w:rsidRPr="00562808">
              <w:rPr>
                <w:rFonts w:ascii="Verdana" w:eastAsia="Times New Roman" w:hAnsi="Verdana" w:cs="Times New Roman"/>
                <w:color w:val="1F1E1D"/>
                <w:sz w:val="17"/>
                <w:szCs w:val="17"/>
                <w:lang w:val="fr-FR"/>
              </w:rPr>
              <w:br/>
              <w:t>La masse totale est divisée en deux parties égales et placée dans 2 boites de Petri sur une hauteur d’environ 3 mm et recouvert de 2 verres de montre.</w:t>
            </w:r>
            <w:r w:rsidRPr="00562808">
              <w:rPr>
                <w:rFonts w:ascii="Verdana" w:eastAsia="Times New Roman" w:hAnsi="Verdana" w:cs="Times New Roman"/>
                <w:color w:val="1F1E1D"/>
                <w:sz w:val="17"/>
                <w:szCs w:val="17"/>
                <w:lang w:val="fr-FR"/>
              </w:rPr>
              <w:br/>
              <w:t>Les 2 boîtes sont placées dans la chambre de l’appareil, l’une étant exposée à la lumière et l’autre étant enrobée de papier aluminium (échantillon de référence).</w:t>
            </w:r>
            <w:r w:rsidRPr="00562808">
              <w:rPr>
                <w:rFonts w:ascii="Verdana" w:eastAsia="Times New Roman" w:hAnsi="Verdana" w:cs="Times New Roman"/>
                <w:color w:val="1F1E1D"/>
                <w:sz w:val="17"/>
                <w:szCs w:val="17"/>
                <w:lang w:val="fr-FR"/>
              </w:rPr>
              <w:br/>
              <w:t>Par ailleurs, 2 cuves en quartz contenant une solution aqueuse de quinine 2% seront également placées dans la chambre, l’une enrobée de papier aluminium (V1), l’autre tel quel (V2).</w:t>
            </w:r>
            <w:r w:rsidRPr="00562808">
              <w:rPr>
                <w:rFonts w:ascii="Verdana" w:eastAsia="Times New Roman" w:hAnsi="Verdana" w:cs="Times New Roman"/>
                <w:color w:val="1F1E1D"/>
                <w:sz w:val="17"/>
                <w:szCs w:val="17"/>
                <w:lang w:val="fr-FR"/>
              </w:rPr>
              <w:br/>
              <w:t>Les deux</w:t>
            </w:r>
            <w:r w:rsidRPr="00562808">
              <w:rPr>
                <w:rFonts w:ascii="Verdana" w:eastAsia="Times New Roman" w:hAnsi="Verdana" w:cs="Times New Roman"/>
                <w:color w:val="1F1E1D"/>
                <w:sz w:val="17"/>
                <w:szCs w:val="17"/>
                <w:lang w:val="fr-FR"/>
              </w:rPr>
              <w:br/>
              <w:t>solutions seront exposées simultanément à la source lumineuse avec les échantillons.</w:t>
            </w:r>
            <w:r w:rsidRPr="00562808">
              <w:rPr>
                <w:rFonts w:ascii="Verdana" w:eastAsia="Times New Roman" w:hAnsi="Verdana" w:cs="Times New Roman"/>
                <w:color w:val="1F1E1D"/>
                <w:sz w:val="17"/>
                <w:szCs w:val="17"/>
                <w:lang w:val="fr-FR"/>
              </w:rPr>
              <w:br/>
              <w:t>La différence d’absorption (1 cm, contre l’air, à 400 nm) entre la solution de quinine V2 et V1 est mesurée au cours du temps.</w:t>
            </w:r>
            <w:r w:rsidRPr="00562808">
              <w:rPr>
                <w:rFonts w:ascii="Verdana" w:eastAsia="Times New Roman" w:hAnsi="Verdana" w:cs="Times New Roman"/>
                <w:color w:val="1F1E1D"/>
                <w:sz w:val="17"/>
                <w:szCs w:val="17"/>
                <w:lang w:val="fr-FR"/>
              </w:rPr>
              <w:br/>
              <w:t>Les échantillons sont exposés tant que la différence n’a pas atteint</w:t>
            </w:r>
            <w:r w:rsidRPr="00562808">
              <w:rPr>
                <w:rFonts w:ascii="Verdana" w:eastAsia="Times New Roman" w:hAnsi="Verdana" w:cs="Times New Roman"/>
                <w:color w:val="1F1E1D"/>
                <w:sz w:val="17"/>
                <w:szCs w:val="17"/>
                <w:lang w:val="fr-FR"/>
              </w:rPr>
              <w:br/>
              <w:t>0.5 A.U.</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lastRenderedPageBreak/>
              <w:t>(unité d’absorption).</w:t>
            </w:r>
            <w:r w:rsidRPr="00562808">
              <w:rPr>
                <w:rFonts w:ascii="Verdana" w:eastAsia="Times New Roman" w:hAnsi="Verdana" w:cs="Times New Roman"/>
                <w:color w:val="1F1E1D"/>
                <w:sz w:val="17"/>
                <w:szCs w:val="17"/>
                <w:lang w:val="fr-FR"/>
              </w:rPr>
              <w:br/>
              <w:t>Cette différence est atteinte en 20 heures environ.</w:t>
            </w:r>
            <w:r w:rsidRPr="00562808">
              <w:rPr>
                <w:rFonts w:ascii="Verdana" w:eastAsia="Times New Roman" w:hAnsi="Verdana" w:cs="Times New Roman"/>
                <w:color w:val="1F1E1D"/>
                <w:sz w:val="17"/>
                <w:szCs w:val="17"/>
                <w:lang w:val="fr-FR"/>
              </w:rPr>
              <w:br/>
              <w:t>La source</w:t>
            </w:r>
            <w:r w:rsidRPr="00562808">
              <w:rPr>
                <w:rFonts w:ascii="Verdana" w:eastAsia="Times New Roman" w:hAnsi="Verdana" w:cs="Times New Roman"/>
                <w:color w:val="1F1E1D"/>
                <w:sz w:val="17"/>
                <w:szCs w:val="17"/>
                <w:lang w:val="fr-FR"/>
              </w:rPr>
              <w:br/>
              <w:t>lumineuse est de 400 W/m2.</w:t>
            </w:r>
            <w:r w:rsidRPr="00562808">
              <w:rPr>
                <w:rFonts w:ascii="Verdana" w:eastAsia="Times New Roman" w:hAnsi="Verdana" w:cs="Times New Roman"/>
                <w:color w:val="1F1E1D"/>
                <w:sz w:val="17"/>
                <w:szCs w:val="17"/>
                <w:lang w:val="fr-FR"/>
              </w:rPr>
              <w:br/>
              <w:t>Un rapport est émis par la société externe effectuant l’irradiation, accompagné de données ponctuelles de température durant l’exposition à la source lumineuse.</w:t>
            </w:r>
            <w:r w:rsidRPr="00562808">
              <w:rPr>
                <w:rFonts w:ascii="Verdana" w:eastAsia="Times New Roman" w:hAnsi="Verdana" w:cs="Times New Roman"/>
                <w:color w:val="1F1E1D"/>
                <w:sz w:val="17"/>
                <w:szCs w:val="17"/>
                <w:lang w:val="fr-FR"/>
              </w:rPr>
              <w:br/>
              <w:t>Les échantillons de produit fini ayant subit le test seront retournés à Debio RP dans des sachets</w:t>
            </w:r>
            <w:r w:rsidRPr="00562808">
              <w:rPr>
                <w:rFonts w:ascii="Verdana" w:eastAsia="Times New Roman" w:hAnsi="Verdana" w:cs="Times New Roman"/>
                <w:color w:val="1F1E1D"/>
                <w:sz w:val="17"/>
                <w:szCs w:val="17"/>
                <w:lang w:val="fr-FR"/>
              </w:rPr>
              <w:br/>
              <w:t>aluminium avec mention sans équivoque entre l’échantillon de référence (protégé de la lumière par l’aluminium lors de l’exposition à la source lumineuse) et l’échantillon effectivement exposé.</w:t>
            </w:r>
            <w:r w:rsidRPr="00562808">
              <w:rPr>
                <w:rFonts w:ascii="Verdana" w:eastAsia="Times New Roman" w:hAnsi="Verdana" w:cs="Times New Roman"/>
                <w:color w:val="1F1E1D"/>
                <w:sz w:val="17"/>
                <w:szCs w:val="17"/>
                <w:lang w:val="fr-FR"/>
              </w:rPr>
              <w:br/>
              <w:t>Les données brutes sont archivées par la société externe qui effectue la manipulation.</w:t>
            </w:r>
          </w:p>
        </w:tc>
        <w:tc>
          <w:tcPr>
            <w:tcW w:w="2503" w:type="pct"/>
            <w:shd w:val="clear" w:color="auto" w:fill="F8F7F1"/>
            <w:hideMark/>
          </w:tcPr>
          <w:p w14:paraId="5B478112" w14:textId="77777777" w:rsidR="006202F2" w:rsidRPr="003A7509" w:rsidRDefault="006202F2" w:rsidP="0079581E">
            <w:pPr>
              <w:spacing w:before="75" w:after="0" w:line="240" w:lineRule="auto"/>
              <w:rPr>
                <w:rFonts w:ascii="Verdana" w:eastAsia="Times New Roman" w:hAnsi="Verdana" w:cs="Times New Roman"/>
                <w:color w:val="1F1E1D"/>
                <w:sz w:val="17"/>
                <w:szCs w:val="17"/>
              </w:rPr>
            </w:pPr>
            <w:r>
              <w:rPr>
                <w:rFonts w:ascii="Verdana" w:eastAsia="Times New Roman" w:hAnsi="Verdana" w:cs="Times New Roman"/>
                <w:b/>
                <w:bCs/>
                <w:color w:val="1F1E1D"/>
                <w:sz w:val="17"/>
                <w:szCs w:val="17"/>
              </w:rPr>
              <w:lastRenderedPageBreak/>
              <w:t>Translation - Spanish</w:t>
            </w:r>
            <w:r w:rsidRPr="003A7509">
              <w:rPr>
                <w:rFonts w:ascii="Verdana" w:eastAsia="Times New Roman" w:hAnsi="Verdana" w:cs="Times New Roman"/>
                <w:color w:val="1F1E1D"/>
                <w:sz w:val="17"/>
                <w:szCs w:val="17"/>
              </w:rPr>
              <w:br/>
              <w:t>OBJETO</w:t>
            </w:r>
            <w:r w:rsidRPr="003A7509">
              <w:rPr>
                <w:rFonts w:ascii="Verdana" w:eastAsia="Times New Roman" w:hAnsi="Verdana" w:cs="Times New Roman"/>
                <w:color w:val="1F1E1D"/>
                <w:sz w:val="17"/>
                <w:szCs w:val="17"/>
              </w:rPr>
              <w:br/>
              <w:t>Determinar la sensibilidad o no del producto terminado Triptorelina pamoato, formulación de 22,5 mg, expuesto a la luz (fotoestabilidad), aplicando, de ser necesario, los diferentes niveles previstos por las estipulaciones establecidas en las directrices de la ICH (Conferencia internacional sobre armonización). </w:t>
            </w:r>
            <w:r w:rsidRPr="003A7509">
              <w:rPr>
                <w:rFonts w:ascii="Verdana" w:eastAsia="Times New Roman" w:hAnsi="Verdana" w:cs="Times New Roman"/>
                <w:color w:val="1F1E1D"/>
                <w:sz w:val="17"/>
                <w:szCs w:val="17"/>
              </w:rPr>
              <w:br/>
              <w:t>El presente estudio fue realizado bajo las condiciones de reacción a la luz, conforme la Guía ICH Q1B – "Guideline for the photostability testing of new active substances and medicinal products, CPMP / ICH / 279 / 95 “(Guía para las pruebas de fotoestabilidad de nuevas sustancias activas y productos medicinales, CPMP - comité de especialidades farmacéuticas- /ICH / 279 / 95).</w:t>
            </w:r>
            <w:r w:rsidRPr="003A7509">
              <w:rPr>
                <w:rFonts w:ascii="Verdana" w:eastAsia="Times New Roman" w:hAnsi="Verdana" w:cs="Times New Roman"/>
                <w:color w:val="1F1E1D"/>
                <w:sz w:val="17"/>
                <w:szCs w:val="17"/>
              </w:rPr>
              <w:br/>
            </w:r>
            <w:r w:rsidRPr="003A7509">
              <w:rPr>
                <w:rFonts w:ascii="Verdana" w:eastAsia="Times New Roman" w:hAnsi="Verdana" w:cs="Times New Roman"/>
                <w:color w:val="1F1E1D"/>
                <w:sz w:val="17"/>
                <w:szCs w:val="17"/>
              </w:rPr>
              <w:lastRenderedPageBreak/>
              <w:br/>
              <w:t>CAMPO DE APLICACIÓN</w:t>
            </w:r>
            <w:r w:rsidRPr="003A7509">
              <w:rPr>
                <w:rFonts w:ascii="Verdana" w:eastAsia="Times New Roman" w:hAnsi="Verdana" w:cs="Times New Roman"/>
                <w:color w:val="1F1E1D"/>
                <w:sz w:val="17"/>
                <w:szCs w:val="17"/>
              </w:rPr>
              <w:br/>
              <w:t>El presente estudio fue realizado en 66 viales de Triptorelina pamoato microgránulos liofilizados —22,5 mg, lote 4126M0708, sometidos a una fuente de luz, en forma de polvo extraído de los viales (Nivel I), en su envase de embalaje primario (viales de vidrio, 6 ml, tipo I, tapones de liofilización grises, bromobutilo, Pharm. Eur., cápsulas de aluminio con Flip-Off ®) (Nivel II) o en forma de kit comercial (Nivel III).</w:t>
            </w:r>
            <w:r w:rsidRPr="003A7509">
              <w:rPr>
                <w:rFonts w:ascii="Verdana" w:eastAsia="Times New Roman" w:hAnsi="Verdana" w:cs="Times New Roman"/>
                <w:color w:val="1F1E1D"/>
                <w:sz w:val="17"/>
                <w:szCs w:val="17"/>
              </w:rPr>
              <w:br/>
            </w:r>
            <w:r w:rsidRPr="003A7509">
              <w:rPr>
                <w:rFonts w:ascii="Verdana" w:eastAsia="Times New Roman" w:hAnsi="Verdana" w:cs="Times New Roman"/>
                <w:color w:val="1F1E1D"/>
                <w:sz w:val="17"/>
                <w:szCs w:val="17"/>
              </w:rPr>
              <w:br/>
              <w:t>DEFINICIONES</w:t>
            </w:r>
            <w:r w:rsidRPr="003A7509">
              <w:rPr>
                <w:rFonts w:ascii="Verdana" w:eastAsia="Times New Roman" w:hAnsi="Verdana" w:cs="Times New Roman"/>
                <w:color w:val="1F1E1D"/>
                <w:sz w:val="17"/>
                <w:szCs w:val="17"/>
              </w:rPr>
              <w:br/>
              <w:t>Muestra expuesta: fracción de producto terminado tras ser sometido a contacto directo con la fuente de luz durante la prueba de fotoestabilidad. </w:t>
            </w:r>
            <w:r w:rsidRPr="003A7509">
              <w:rPr>
                <w:rFonts w:ascii="Verdana" w:eastAsia="Times New Roman" w:hAnsi="Verdana" w:cs="Times New Roman"/>
                <w:color w:val="1F1E1D"/>
                <w:sz w:val="17"/>
                <w:szCs w:val="17"/>
              </w:rPr>
              <w:br/>
              <w:t>Muestra de referencia: fracción de producto terminado tras ser sometido a las mismas pruebas que la fracción anterior, pero, habiendo sido protegida de la radiación mediante una lámina de aluminio. </w:t>
            </w:r>
            <w:r w:rsidRPr="003A7509">
              <w:rPr>
                <w:rFonts w:ascii="Verdana" w:eastAsia="Times New Roman" w:hAnsi="Verdana" w:cs="Times New Roman"/>
                <w:color w:val="1F1E1D"/>
                <w:sz w:val="17"/>
                <w:szCs w:val="17"/>
              </w:rPr>
              <w:br/>
            </w:r>
            <w:r w:rsidRPr="003A7509">
              <w:rPr>
                <w:rFonts w:ascii="Verdana" w:eastAsia="Times New Roman" w:hAnsi="Verdana" w:cs="Times New Roman"/>
                <w:color w:val="1F1E1D"/>
                <w:sz w:val="17"/>
                <w:szCs w:val="17"/>
              </w:rPr>
              <w:br/>
              <w:t>RESPONSABILIDADES</w:t>
            </w:r>
            <w:r w:rsidRPr="003A7509">
              <w:rPr>
                <w:rFonts w:ascii="Verdana" w:eastAsia="Times New Roman" w:hAnsi="Verdana" w:cs="Times New Roman"/>
                <w:color w:val="1F1E1D"/>
                <w:sz w:val="17"/>
                <w:szCs w:val="17"/>
              </w:rPr>
              <w:br/>
              <w:t>El control de calidad tiene la responsabilidad de enviar viales del producto liofilizado terminado a un laboratorio externo certificado.</w:t>
            </w:r>
            <w:r w:rsidRPr="003A7509">
              <w:rPr>
                <w:rFonts w:ascii="Verdana" w:eastAsia="Times New Roman" w:hAnsi="Verdana" w:cs="Times New Roman"/>
                <w:color w:val="1F1E1D"/>
                <w:sz w:val="17"/>
                <w:szCs w:val="17"/>
              </w:rPr>
              <w:br/>
              <w:t>Es también el responsable del seguimiento de la prueba efectuada externamente, como también de los análisis efectuados en Debio, de la evaluación de los resultados obtenidos, de las eventuales conductas de los niveles II y III, de la redacción y transmisión en tiempo y forma, según el fin de los análisis químicos, de un informe al responsable del aseguramiento de la calidad. </w:t>
            </w:r>
            <w:r w:rsidRPr="003A7509">
              <w:rPr>
                <w:rFonts w:ascii="Verdana" w:eastAsia="Times New Roman" w:hAnsi="Verdana" w:cs="Times New Roman"/>
                <w:color w:val="1F1E1D"/>
                <w:sz w:val="17"/>
                <w:szCs w:val="17"/>
              </w:rPr>
              <w:br/>
            </w:r>
            <w:r w:rsidRPr="003A7509">
              <w:rPr>
                <w:rFonts w:ascii="Verdana" w:eastAsia="Times New Roman" w:hAnsi="Verdana" w:cs="Times New Roman"/>
                <w:color w:val="1F1E1D"/>
                <w:sz w:val="17"/>
                <w:szCs w:val="17"/>
              </w:rPr>
              <w:br/>
              <w:t>DESCRIPCIÓN</w:t>
            </w:r>
            <w:r w:rsidRPr="003A7509">
              <w:rPr>
                <w:rFonts w:ascii="Verdana" w:eastAsia="Times New Roman" w:hAnsi="Verdana" w:cs="Times New Roman"/>
                <w:color w:val="1F1E1D"/>
                <w:sz w:val="17"/>
                <w:szCs w:val="17"/>
              </w:rPr>
              <w:br/>
            </w:r>
            <w:r w:rsidRPr="003A7509">
              <w:rPr>
                <w:rFonts w:ascii="Verdana" w:eastAsia="Times New Roman" w:hAnsi="Verdana" w:cs="Times New Roman"/>
                <w:color w:val="1F1E1D"/>
                <w:sz w:val="17"/>
                <w:szCs w:val="17"/>
              </w:rPr>
              <w:br/>
              <w:t>EQUIPO</w:t>
            </w:r>
            <w:r w:rsidRPr="003A7509">
              <w:rPr>
                <w:rFonts w:ascii="Verdana" w:eastAsia="Times New Roman" w:hAnsi="Verdana" w:cs="Times New Roman"/>
                <w:color w:val="1F1E1D"/>
                <w:sz w:val="17"/>
                <w:szCs w:val="17"/>
              </w:rPr>
              <w:br/>
              <w:t>Equipo Suntest CPS+, Fa.</w:t>
            </w:r>
            <w:r w:rsidRPr="003A7509">
              <w:rPr>
                <w:rFonts w:ascii="Verdana" w:eastAsia="Times New Roman" w:hAnsi="Verdana" w:cs="Times New Roman"/>
                <w:color w:val="1F1E1D"/>
                <w:sz w:val="17"/>
                <w:szCs w:val="17"/>
              </w:rPr>
              <w:br/>
              <w:t>Atlas, Härkingen, con control de temperatura Lámpara de Xenón (serie-Nr. C3) [Confarma Nr. 749]</w:t>
            </w:r>
            <w:r w:rsidRPr="003A7509">
              <w:rPr>
                <w:rFonts w:ascii="Verdana" w:eastAsia="Times New Roman" w:hAnsi="Verdana" w:cs="Times New Roman"/>
                <w:color w:val="1F1E1D"/>
                <w:sz w:val="17"/>
                <w:szCs w:val="17"/>
              </w:rPr>
              <w:br/>
            </w:r>
            <w:r w:rsidRPr="003A7509">
              <w:rPr>
                <w:rFonts w:ascii="Verdana" w:eastAsia="Times New Roman" w:hAnsi="Verdana" w:cs="Times New Roman"/>
                <w:color w:val="1F1E1D"/>
                <w:sz w:val="17"/>
                <w:szCs w:val="17"/>
              </w:rPr>
              <w:br/>
              <w:t>PRODUCTOS QUÍMICOS</w:t>
            </w:r>
            <w:r w:rsidRPr="003A7509">
              <w:rPr>
                <w:rFonts w:ascii="Verdana" w:eastAsia="Times New Roman" w:hAnsi="Verdana" w:cs="Times New Roman"/>
                <w:color w:val="1F1E1D"/>
                <w:sz w:val="17"/>
                <w:szCs w:val="17"/>
              </w:rPr>
              <w:br/>
              <w:t>Quinina HCI dihidrato, 424604/1, Fluka</w:t>
            </w:r>
            <w:r w:rsidRPr="003A7509">
              <w:rPr>
                <w:rFonts w:ascii="Verdana" w:eastAsia="Times New Roman" w:hAnsi="Verdana" w:cs="Times New Roman"/>
                <w:color w:val="1F1E1D"/>
                <w:sz w:val="17"/>
                <w:szCs w:val="17"/>
              </w:rPr>
              <w:br/>
            </w:r>
            <w:r w:rsidRPr="003A7509">
              <w:rPr>
                <w:rFonts w:ascii="Verdana" w:eastAsia="Times New Roman" w:hAnsi="Verdana" w:cs="Times New Roman"/>
                <w:color w:val="1F1E1D"/>
                <w:sz w:val="17"/>
                <w:szCs w:val="17"/>
              </w:rPr>
              <w:br/>
              <w:t>PROCEDIMIENTO</w:t>
            </w:r>
            <w:r w:rsidRPr="003A7509">
              <w:rPr>
                <w:rFonts w:ascii="Verdana" w:eastAsia="Times New Roman" w:hAnsi="Verdana" w:cs="Times New Roman"/>
                <w:color w:val="1F1E1D"/>
                <w:sz w:val="17"/>
                <w:szCs w:val="17"/>
              </w:rPr>
              <w:br/>
              <w:t>Exposición a la luz en un laboratorio externo</w:t>
            </w:r>
            <w:r w:rsidRPr="003A7509">
              <w:rPr>
                <w:rFonts w:ascii="Verdana" w:eastAsia="Times New Roman" w:hAnsi="Verdana" w:cs="Times New Roman"/>
                <w:color w:val="1F1E1D"/>
                <w:sz w:val="17"/>
                <w:szCs w:val="17"/>
              </w:rPr>
              <w:br/>
              <w:t>Nivel I:</w:t>
            </w:r>
            <w:r w:rsidRPr="003A7509">
              <w:rPr>
                <w:rFonts w:ascii="Verdana" w:eastAsia="Times New Roman" w:hAnsi="Verdana" w:cs="Times New Roman"/>
                <w:color w:val="1F1E1D"/>
                <w:sz w:val="17"/>
                <w:szCs w:val="17"/>
              </w:rPr>
              <w:br/>
              <w:t>Las muestras del producto terminado, en forma liofilizada (66 viales) son extraídas de los viales, mezcladas y homogeneizadas en un gran vaso de precipitados hasta obtener un fino polvo blanco. </w:t>
            </w:r>
            <w:r w:rsidRPr="003A7509">
              <w:rPr>
                <w:rFonts w:ascii="Verdana" w:eastAsia="Times New Roman" w:hAnsi="Verdana" w:cs="Times New Roman"/>
                <w:color w:val="1F1E1D"/>
                <w:sz w:val="17"/>
                <w:szCs w:val="17"/>
              </w:rPr>
              <w:br/>
              <w:t>La masa total es dividida en dos partes iguales, se la coloca en dos placas de Petri a una altura aproximada de 3 mm, y se las cubre con 2 vidrios de reloj. Ambas placas son introducidas en el equipo, dejando a una de ellas expuesta a la luz y envolviendo a la otra en una lámina de aluminio (muestra de referencia). Asimismo, 2 cubetas de cuarzo con una solución acuosa de quinina 2% son introducidas en el equipo también, una envuelta en una lámina de aluminio (V1), y la otra no (V2). Ambas soluciones serán expuestas simultáneamente con las muestras a la fuente de luz.</w:t>
            </w:r>
            <w:r w:rsidRPr="003A7509">
              <w:rPr>
                <w:rFonts w:ascii="Verdana" w:eastAsia="Times New Roman" w:hAnsi="Verdana" w:cs="Times New Roman"/>
                <w:color w:val="1F1E1D"/>
                <w:sz w:val="17"/>
                <w:szCs w:val="17"/>
              </w:rPr>
              <w:br/>
              <w:t xml:space="preserve">La diferencia de absorción (1cm, contra el aire, a </w:t>
            </w:r>
            <w:r w:rsidRPr="003A7509">
              <w:rPr>
                <w:rFonts w:ascii="Verdana" w:eastAsia="Times New Roman" w:hAnsi="Verdana" w:cs="Times New Roman"/>
                <w:color w:val="1F1E1D"/>
                <w:sz w:val="17"/>
                <w:szCs w:val="17"/>
              </w:rPr>
              <w:lastRenderedPageBreak/>
              <w:t xml:space="preserve">400 nm) entre la solución de quinina V2 y V1 se mide en el tiempo. </w:t>
            </w:r>
            <w:r w:rsidRPr="003A7509">
              <w:rPr>
                <w:rFonts w:ascii="Verdana" w:eastAsia="Times New Roman" w:hAnsi="Verdana" w:cs="Times New Roman"/>
                <w:color w:val="1F1E1D"/>
                <w:sz w:val="17"/>
                <w:szCs w:val="17"/>
              </w:rPr>
              <w:br/>
              <w:t>Las muestras permanecen expuestas hasta que se alcance la diferencia 0.5 A.U. (unidad de absorción). Esta diferencia se alcanza en aproximadamente 20 horas. La fuente de luz es de 400 W/m 2.</w:t>
            </w:r>
            <w:r w:rsidRPr="003A7509">
              <w:rPr>
                <w:rFonts w:ascii="Verdana" w:eastAsia="Times New Roman" w:hAnsi="Verdana" w:cs="Times New Roman"/>
                <w:color w:val="1F1E1D"/>
                <w:sz w:val="17"/>
                <w:szCs w:val="17"/>
              </w:rPr>
              <w:br/>
              <w:t>La entidad externa a cargo de la irradiación emite un informe con datos precisos sobre la temperatura durante la exposición a la fuente de luz.</w:t>
            </w:r>
            <w:r w:rsidRPr="003A7509">
              <w:rPr>
                <w:rFonts w:ascii="Verdana" w:eastAsia="Times New Roman" w:hAnsi="Verdana" w:cs="Times New Roman"/>
                <w:color w:val="1F1E1D"/>
                <w:sz w:val="17"/>
                <w:szCs w:val="17"/>
              </w:rPr>
              <w:br/>
              <w:t>Las muestras del producto terminado sometidas a la prueba son devueltas en bolsas de aluminio a Debio RP, </w:t>
            </w:r>
            <w:r w:rsidRPr="003A7509">
              <w:rPr>
                <w:rFonts w:ascii="Verdana" w:eastAsia="Times New Roman" w:hAnsi="Verdana" w:cs="Times New Roman"/>
                <w:color w:val="1F1E1D"/>
                <w:sz w:val="17"/>
                <w:szCs w:val="17"/>
              </w:rPr>
              <w:br/>
              <w:t>iIndicando claramente cuál es la muestra de referencia (protegida de la luz por la lámina de aluminio durante la exposición a la fuente de luz) y aquella que efectivamente fue expuesta. </w:t>
            </w:r>
            <w:r w:rsidRPr="003A7509">
              <w:rPr>
                <w:rFonts w:ascii="Verdana" w:eastAsia="Times New Roman" w:hAnsi="Verdana" w:cs="Times New Roman"/>
                <w:color w:val="1F1E1D"/>
                <w:sz w:val="17"/>
                <w:szCs w:val="17"/>
              </w:rPr>
              <w:br/>
              <w:t>Los datos brutos son archivados por la entidad externa a cargo de la manipulación.</w:t>
            </w:r>
          </w:p>
        </w:tc>
      </w:tr>
    </w:tbl>
    <w:p w14:paraId="5AEBBFDF" w14:textId="19E0F687" w:rsidR="006202F2" w:rsidRDefault="006202F2"/>
    <w:p w14:paraId="4AFDB83D" w14:textId="77777777" w:rsidR="006202F2" w:rsidRPr="00FF6188" w:rsidRDefault="006202F2" w:rsidP="006202F2">
      <w:pPr>
        <w:jc w:val="both"/>
        <w:rPr>
          <w:rFonts w:ascii="Book Antiqua" w:hAnsi="Book Antiqua"/>
          <w:b/>
          <w:bCs/>
          <w:i/>
          <w:iCs/>
          <w:color w:val="1F1E1D"/>
          <w:sz w:val="32"/>
          <w:szCs w:val="32"/>
        </w:rPr>
      </w:pPr>
      <w:r w:rsidRPr="00FF6188">
        <w:rPr>
          <w:rFonts w:ascii="Book Antiqua" w:hAnsi="Book Antiqua"/>
          <w:b/>
          <w:bCs/>
          <w:i/>
          <w:iCs/>
          <w:color w:val="1F1E1D"/>
          <w:sz w:val="32"/>
          <w:szCs w:val="32"/>
        </w:rPr>
        <w:t>Relazione del Collegio Sindacale -Informe de la Comisión Fiscalizadora</w:t>
      </w:r>
    </w:p>
    <w:tbl>
      <w:tblPr>
        <w:tblW w:w="5108"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F7F1"/>
        <w:tblCellMar>
          <w:top w:w="45" w:type="dxa"/>
          <w:left w:w="45" w:type="dxa"/>
          <w:bottom w:w="45" w:type="dxa"/>
          <w:right w:w="45" w:type="dxa"/>
        </w:tblCellMar>
        <w:tblLook w:val="04A0" w:firstRow="1" w:lastRow="0" w:firstColumn="1" w:lastColumn="0" w:noHBand="0" w:noVBand="1"/>
      </w:tblPr>
      <w:tblGrid>
        <w:gridCol w:w="4531"/>
        <w:gridCol w:w="4727"/>
      </w:tblGrid>
      <w:tr w:rsidR="006202F2" w:rsidRPr="00F060AA" w14:paraId="2F72AFFC" w14:textId="77777777" w:rsidTr="0079581E">
        <w:trPr>
          <w:tblCellSpacing w:w="7" w:type="dxa"/>
        </w:trPr>
        <w:tc>
          <w:tcPr>
            <w:tcW w:w="2436" w:type="pct"/>
            <w:shd w:val="clear" w:color="auto" w:fill="F8F7F1"/>
            <w:hideMark/>
          </w:tcPr>
          <w:p w14:paraId="0291D122" w14:textId="77777777" w:rsidR="006202F2" w:rsidRPr="00F060AA" w:rsidRDefault="006202F2" w:rsidP="0079581E">
            <w:pPr>
              <w:spacing w:before="75" w:after="0" w:line="240" w:lineRule="auto"/>
              <w:rPr>
                <w:rFonts w:ascii="Verdana" w:eastAsia="Times New Roman" w:hAnsi="Verdana" w:cs="Times New Roman"/>
                <w:color w:val="1F1E1D"/>
                <w:sz w:val="17"/>
                <w:szCs w:val="17"/>
                <w:lang w:val="fr-FR"/>
              </w:rPr>
            </w:pPr>
            <w:r>
              <w:rPr>
                <w:rFonts w:ascii="Verdana" w:eastAsia="Times New Roman" w:hAnsi="Verdana" w:cs="Times New Roman"/>
                <w:b/>
                <w:bCs/>
                <w:color w:val="1F1E1D"/>
                <w:sz w:val="17"/>
                <w:szCs w:val="17"/>
                <w:lang w:val="it-IT"/>
              </w:rPr>
              <w:t>Source Text</w:t>
            </w:r>
            <w:r w:rsidRPr="00F060AA">
              <w:rPr>
                <w:rFonts w:ascii="Verdana" w:eastAsia="Times New Roman" w:hAnsi="Verdana" w:cs="Times New Roman"/>
                <w:b/>
                <w:bCs/>
                <w:color w:val="1F1E1D"/>
                <w:sz w:val="17"/>
                <w:szCs w:val="17"/>
                <w:lang w:val="it-IT"/>
              </w:rPr>
              <w:t xml:space="preserve"> - </w:t>
            </w:r>
            <w:r>
              <w:rPr>
                <w:rFonts w:ascii="Verdana" w:eastAsia="Times New Roman" w:hAnsi="Verdana" w:cs="Times New Roman"/>
                <w:b/>
                <w:bCs/>
                <w:color w:val="1F1E1D"/>
                <w:sz w:val="17"/>
                <w:szCs w:val="17"/>
                <w:lang w:val="it-IT"/>
              </w:rPr>
              <w:t>I</w:t>
            </w:r>
            <w:r w:rsidRPr="00F060AA">
              <w:rPr>
                <w:rFonts w:ascii="Verdana" w:eastAsia="Times New Roman" w:hAnsi="Verdana" w:cs="Times New Roman"/>
                <w:b/>
                <w:bCs/>
                <w:color w:val="1F1E1D"/>
                <w:sz w:val="17"/>
                <w:szCs w:val="17"/>
                <w:lang w:val="it-IT"/>
              </w:rPr>
              <w:t>talian</w:t>
            </w:r>
            <w:r w:rsidRPr="00F060AA">
              <w:rPr>
                <w:rFonts w:ascii="Verdana" w:eastAsia="Times New Roman" w:hAnsi="Verdana" w:cs="Times New Roman"/>
                <w:color w:val="1F1E1D"/>
                <w:sz w:val="17"/>
                <w:szCs w:val="17"/>
                <w:lang w:val="it-IT"/>
              </w:rPr>
              <w:br/>
              <w:t>Nel corso dell’esercizio i sottoscritti sindaci hanno partecipato alle adunanze del consiglio di amministrazione e dell’assemblea, e hanno provveduto ad effettuare i controlli campionari di legge. I sindaci si sono altresì incontrati con il soggetto incaricato della revisione legale dei conti (BDO Italia S.p.a.), con il quale si sono scambiati le informazioni ai sensi dell’art. 2409-septies c.c., e con i membri dell’organismo di vigilanza ex D.Lgs. 231/2001. </w:t>
            </w:r>
            <w:r w:rsidRPr="00F060AA">
              <w:rPr>
                <w:rFonts w:ascii="Verdana" w:eastAsia="Times New Roman" w:hAnsi="Verdana" w:cs="Times New Roman"/>
                <w:color w:val="1F1E1D"/>
                <w:sz w:val="17"/>
                <w:szCs w:val="17"/>
                <w:lang w:val="it-IT"/>
              </w:rPr>
              <w:br/>
            </w:r>
            <w:r w:rsidRPr="00F060AA">
              <w:rPr>
                <w:rFonts w:ascii="Verdana" w:eastAsia="Times New Roman" w:hAnsi="Verdana" w:cs="Times New Roman"/>
                <w:color w:val="1F1E1D"/>
                <w:sz w:val="17"/>
                <w:szCs w:val="17"/>
                <w:lang w:val="it-IT"/>
              </w:rPr>
              <w:br/>
              <w:t>Non essendo demandato al Collegio Sindacale il controllo analitico di merito sul contenuto del bilancio, l’attività dello stesso si è limitata alla vigilanza sull’impostazione generale data al medesimo e sulla generale conformità alla legge per quel che riguarda la sua formazione e struttura. Per quanto di specifica pertinenza del collegio sindacale, si rileva quanto segue:</w:t>
            </w:r>
            <w:r w:rsidRPr="00F060AA">
              <w:rPr>
                <w:rFonts w:ascii="Verdana" w:eastAsia="Times New Roman" w:hAnsi="Verdana" w:cs="Times New Roman"/>
                <w:color w:val="1F1E1D"/>
                <w:sz w:val="17"/>
                <w:szCs w:val="17"/>
                <w:lang w:val="it-IT"/>
              </w:rPr>
              <w:br/>
              <w:t>- non vi sono voci, nell’attivo di stato patrimoniale, che richiedono il consenso del collegio sindacale per l’iscrizione;</w:t>
            </w:r>
            <w:r w:rsidRPr="00F060AA">
              <w:rPr>
                <w:rFonts w:ascii="Verdana" w:eastAsia="Times New Roman" w:hAnsi="Verdana" w:cs="Times New Roman"/>
                <w:color w:val="1F1E1D"/>
                <w:sz w:val="17"/>
                <w:szCs w:val="17"/>
                <w:lang w:val="it-IT"/>
              </w:rPr>
              <w:br/>
              <w:t>- abbiamo preso preventivamente visione della relazione al bilancio 2017 del sudetto soggetto incaricato alla revisione legale dei conti del 24 aprile 2018, da cui non emergono rilievi ostativi all’approvazione del bilancio; </w:t>
            </w:r>
            <w:r w:rsidRPr="00F060AA">
              <w:rPr>
                <w:rFonts w:ascii="Verdana" w:eastAsia="Times New Roman" w:hAnsi="Verdana" w:cs="Times New Roman"/>
                <w:color w:val="1F1E1D"/>
                <w:sz w:val="17"/>
                <w:szCs w:val="17"/>
                <w:lang w:val="it-IT"/>
              </w:rPr>
              <w:br/>
              <w:t>- nella redazione del bilancio dell’esercizio non si sono verificati casi eccezionali che abbiano reso necessario il ricorso a deroghe di cui all’art. 2423, comma 4, c.c. e all’art. 2423 bis, comma 2, c.c.; </w:t>
            </w:r>
            <w:r w:rsidRPr="00F060AA">
              <w:rPr>
                <w:rFonts w:ascii="Verdana" w:eastAsia="Times New Roman" w:hAnsi="Verdana" w:cs="Times New Roman"/>
                <w:color w:val="1F1E1D"/>
                <w:sz w:val="17"/>
                <w:szCs w:val="17"/>
                <w:lang w:val="it-IT"/>
              </w:rPr>
              <w:br/>
              <w:t>- la società aderisce al consolidato fiscale, in capo alla società controllante di ultima istanza XXX S.r.l., che predispone anche il bilancio consolidato, esonerando pertanto XXX S.p.a. da tale adempimento;</w:t>
            </w:r>
            <w:r w:rsidRPr="00F060AA">
              <w:rPr>
                <w:rFonts w:ascii="Verdana" w:eastAsia="Times New Roman" w:hAnsi="Verdana" w:cs="Times New Roman"/>
                <w:color w:val="1F1E1D"/>
                <w:sz w:val="17"/>
                <w:szCs w:val="17"/>
                <w:lang w:val="it-IT"/>
              </w:rPr>
              <w:br/>
              <w:t xml:space="preserve">- s’invita a perseverare nel monitoraggio della realizzabilità delle posizioni creditorie residue </w:t>
            </w:r>
            <w:r w:rsidRPr="00F060AA">
              <w:rPr>
                <w:rFonts w:ascii="Verdana" w:eastAsia="Times New Roman" w:hAnsi="Verdana" w:cs="Times New Roman"/>
                <w:color w:val="1F1E1D"/>
                <w:sz w:val="17"/>
                <w:szCs w:val="17"/>
                <w:lang w:val="it-IT"/>
              </w:rPr>
              <w:lastRenderedPageBreak/>
              <w:t>risalenti, anche nei confronti di XXX S.c.a.r.l., effettuando se del caso ulteriori accantonamenti al fondo svalutazione crediti; </w:t>
            </w:r>
            <w:r w:rsidRPr="00F060AA">
              <w:rPr>
                <w:rFonts w:ascii="Verdana" w:eastAsia="Times New Roman" w:hAnsi="Verdana" w:cs="Times New Roman"/>
                <w:color w:val="1F1E1D"/>
                <w:sz w:val="17"/>
                <w:szCs w:val="17"/>
                <w:lang w:val="it-IT"/>
              </w:rPr>
              <w:br/>
              <w:t>- i conti d’ordine in nota integrativa ricomprendono garanzie personali rilasciate (fideiussioni prestate a società controllate, collegate e ad altre imprese e lettere di patronage) e garanzie reali prestate a favore di terzi (pegno su azioni di societa controllate e collegate);</w:t>
            </w:r>
            <w:r w:rsidRPr="00F060AA">
              <w:rPr>
                <w:rFonts w:ascii="Verdana" w:eastAsia="Times New Roman" w:hAnsi="Verdana" w:cs="Times New Roman"/>
                <w:color w:val="1F1E1D"/>
                <w:sz w:val="17"/>
                <w:szCs w:val="17"/>
                <w:lang w:val="it-IT"/>
              </w:rPr>
              <w:br/>
              <w:t>- l’utile d’esercizio di € 726.587 è integralmente destinato a riserva, come riportato in nota integrativa. </w:t>
            </w:r>
            <w:r w:rsidRPr="00F060AA">
              <w:rPr>
                <w:rFonts w:ascii="Verdana" w:eastAsia="Times New Roman" w:hAnsi="Verdana" w:cs="Times New Roman"/>
                <w:color w:val="1F1E1D"/>
                <w:sz w:val="17"/>
                <w:szCs w:val="17"/>
                <w:lang w:val="it-IT"/>
              </w:rPr>
              <w:br/>
            </w:r>
            <w:r w:rsidRPr="00F060AA">
              <w:rPr>
                <w:rFonts w:ascii="Verdana" w:eastAsia="Times New Roman" w:hAnsi="Verdana" w:cs="Times New Roman"/>
                <w:color w:val="1F1E1D"/>
                <w:sz w:val="17"/>
                <w:szCs w:val="17"/>
                <w:lang w:val="it-IT"/>
              </w:rPr>
              <w:br/>
              <w:t>Alla luce di tutto quanto precede, dei riscontri e rilievi effettuati, degli elementi acquisiti nel corso delle verifiche a campione e sulla base di quanto a nostra conoscenza, i sottoscritti ritengono che il bilancio sottopostoVi rappresenti in modo veritiero e corretto la situazione patrimoniale e finanziaria e il risultato economico dell’esercizio ed esprimono pertanto parere favorevole all’approvazione del bilancio al 31 dicembre 2017.</w:t>
            </w:r>
            <w:r w:rsidRPr="00F060AA">
              <w:rPr>
                <w:rFonts w:ascii="Verdana" w:eastAsia="Times New Roman" w:hAnsi="Verdana" w:cs="Times New Roman"/>
                <w:color w:val="1F1E1D"/>
                <w:sz w:val="17"/>
                <w:szCs w:val="17"/>
                <w:lang w:val="it-IT"/>
              </w:rPr>
              <w:br/>
            </w:r>
            <w:r w:rsidRPr="00F060AA">
              <w:rPr>
                <w:rFonts w:ascii="Verdana" w:eastAsia="Times New Roman" w:hAnsi="Verdana" w:cs="Times New Roman"/>
                <w:color w:val="1F1E1D"/>
                <w:sz w:val="17"/>
                <w:szCs w:val="17"/>
                <w:lang w:val="it-IT"/>
              </w:rPr>
              <w:br/>
              <w:t>Con lettera del 12 aprile 2018, gli azionisti hanno rinunciato ai termini ex art. 2429, 3º comma, c.c., in vista della prima convocazione assembleare. </w:t>
            </w:r>
            <w:r w:rsidRPr="00F060AA">
              <w:rPr>
                <w:rFonts w:ascii="Verdana" w:eastAsia="Times New Roman" w:hAnsi="Verdana" w:cs="Times New Roman"/>
                <w:color w:val="1F1E1D"/>
                <w:sz w:val="17"/>
                <w:szCs w:val="17"/>
                <w:lang w:val="it-IT"/>
              </w:rPr>
              <w:br/>
            </w:r>
            <w:r w:rsidRPr="00F060AA">
              <w:rPr>
                <w:rFonts w:ascii="Verdana" w:eastAsia="Times New Roman" w:hAnsi="Verdana" w:cs="Times New Roman"/>
                <w:color w:val="1F1E1D"/>
                <w:sz w:val="17"/>
                <w:szCs w:val="17"/>
                <w:lang w:val="it-IT"/>
              </w:rPr>
              <w:br/>
            </w:r>
            <w:r w:rsidRPr="00F060AA">
              <w:rPr>
                <w:rFonts w:ascii="Verdana" w:eastAsia="Times New Roman" w:hAnsi="Verdana" w:cs="Times New Roman"/>
                <w:color w:val="1F1E1D"/>
                <w:sz w:val="17"/>
                <w:szCs w:val="17"/>
                <w:lang w:val="fr-FR"/>
              </w:rPr>
              <w:t>Milano, 26 aprile 2018</w:t>
            </w:r>
            <w:r w:rsidRPr="00F060AA">
              <w:rPr>
                <w:rFonts w:ascii="Verdana" w:eastAsia="Times New Roman" w:hAnsi="Verdana" w:cs="Times New Roman"/>
                <w:color w:val="1F1E1D"/>
                <w:sz w:val="17"/>
                <w:szCs w:val="17"/>
                <w:lang w:val="fr-FR"/>
              </w:rPr>
              <w:br/>
            </w:r>
            <w:r w:rsidRPr="00F060AA">
              <w:rPr>
                <w:rFonts w:ascii="Verdana" w:eastAsia="Times New Roman" w:hAnsi="Verdana" w:cs="Times New Roman"/>
                <w:color w:val="1F1E1D"/>
                <w:sz w:val="17"/>
                <w:szCs w:val="17"/>
                <w:lang w:val="fr-FR"/>
              </w:rPr>
              <w:br/>
              <w:t>IL COLLEGIO SINDACALE</w:t>
            </w:r>
          </w:p>
        </w:tc>
        <w:tc>
          <w:tcPr>
            <w:tcW w:w="2542" w:type="pct"/>
            <w:shd w:val="clear" w:color="auto" w:fill="F8F7F1"/>
            <w:hideMark/>
          </w:tcPr>
          <w:p w14:paraId="2F10B814" w14:textId="77777777" w:rsidR="006202F2" w:rsidRPr="00F060AA" w:rsidRDefault="006202F2" w:rsidP="0079581E">
            <w:pPr>
              <w:spacing w:before="75" w:after="0" w:line="240" w:lineRule="auto"/>
              <w:rPr>
                <w:rFonts w:ascii="Verdana" w:eastAsia="Times New Roman" w:hAnsi="Verdana" w:cs="Times New Roman"/>
                <w:color w:val="1F1E1D"/>
                <w:sz w:val="17"/>
                <w:szCs w:val="17"/>
                <w:lang w:val="fr-FR"/>
              </w:rPr>
            </w:pPr>
            <w:r>
              <w:rPr>
                <w:rFonts w:ascii="Verdana" w:eastAsia="Times New Roman" w:hAnsi="Verdana" w:cs="Times New Roman"/>
                <w:b/>
                <w:bCs/>
                <w:color w:val="1F1E1D"/>
                <w:sz w:val="17"/>
                <w:szCs w:val="17"/>
              </w:rPr>
              <w:lastRenderedPageBreak/>
              <w:t>Translation</w:t>
            </w:r>
            <w:r w:rsidRPr="00F060AA">
              <w:rPr>
                <w:rFonts w:ascii="Verdana" w:eastAsia="Times New Roman" w:hAnsi="Verdana" w:cs="Times New Roman"/>
                <w:b/>
                <w:bCs/>
                <w:color w:val="1F1E1D"/>
                <w:sz w:val="17"/>
                <w:szCs w:val="17"/>
              </w:rPr>
              <w:t xml:space="preserve"> - </w:t>
            </w:r>
            <w:r>
              <w:rPr>
                <w:rFonts w:ascii="Verdana" w:eastAsia="Times New Roman" w:hAnsi="Verdana" w:cs="Times New Roman"/>
                <w:b/>
                <w:bCs/>
                <w:color w:val="1F1E1D"/>
                <w:sz w:val="17"/>
                <w:szCs w:val="17"/>
              </w:rPr>
              <w:t>Spanish</w:t>
            </w:r>
            <w:r w:rsidRPr="00F060AA">
              <w:rPr>
                <w:rFonts w:ascii="Verdana" w:eastAsia="Times New Roman" w:hAnsi="Verdana" w:cs="Times New Roman"/>
                <w:color w:val="1F1E1D"/>
                <w:sz w:val="17"/>
                <w:szCs w:val="17"/>
              </w:rPr>
              <w:br/>
              <w:t>A lo largo del ejercicio, los síndicos que suscriben el presente participaron en las reuniones del directorio y de la asamblea, y proveyeron a efectuar los controles estadísticos legales. Asimismo, los síndicos se reunieron con el encargado de la auditoría contable externa (BDO Italia S.p.A.), con el que intercambiaron informaciones, conforme el art. 2409-septies del Código Civil, y con los miembros del organismo de vigilancia, ex – decreto legislativo 231/2001. </w:t>
            </w:r>
            <w:r w:rsidRPr="00F060AA">
              <w:rPr>
                <w:rFonts w:ascii="Verdana" w:eastAsia="Times New Roman" w:hAnsi="Verdana" w:cs="Times New Roman"/>
                <w:color w:val="1F1E1D"/>
                <w:sz w:val="17"/>
                <w:szCs w:val="17"/>
              </w:rPr>
              <w:br/>
            </w:r>
            <w:r w:rsidRPr="00F060AA">
              <w:rPr>
                <w:rFonts w:ascii="Verdana" w:eastAsia="Times New Roman" w:hAnsi="Verdana" w:cs="Times New Roman"/>
                <w:color w:val="1F1E1D"/>
                <w:sz w:val="17"/>
                <w:szCs w:val="17"/>
              </w:rPr>
              <w:br/>
              <w:t>No habiéndosele requerido a la Comisión Fiscalizadora el control analítico meritorio acerca del contenido del balance, la acción de esta se limitó al control del formato general dado al mentado, y a la conformidad con la ley, en términos generales, por lo que concierne su composición y estructura. Respecto de lo específicamente ateniente a la Comisión Fiscalizadora, se destaca lo siguiente: </w:t>
            </w:r>
            <w:r w:rsidRPr="00F060AA">
              <w:rPr>
                <w:rFonts w:ascii="Verdana" w:eastAsia="Times New Roman" w:hAnsi="Verdana" w:cs="Times New Roman"/>
                <w:color w:val="1F1E1D"/>
                <w:sz w:val="17"/>
                <w:szCs w:val="17"/>
              </w:rPr>
              <w:br/>
              <w:t>- no hay cuentas, en el activo del estado de situación patrimonial, que requieran el consentimiento de la comisión fiscalizadora para su inscripción;</w:t>
            </w:r>
            <w:r w:rsidRPr="00F060AA">
              <w:rPr>
                <w:rFonts w:ascii="Verdana" w:eastAsia="Times New Roman" w:hAnsi="Verdana" w:cs="Times New Roman"/>
                <w:color w:val="1F1E1D"/>
                <w:sz w:val="17"/>
                <w:szCs w:val="17"/>
              </w:rPr>
              <w:br/>
              <w:t>- hemos consultado con antelación el informe sobre el balance 2017 del 24 de abril de 2018, hecho por el encargado de la auditoría contable externa arriba mencionado, del que no surgen elementos que obsten a la aprobación del balance;</w:t>
            </w:r>
            <w:r w:rsidRPr="00F060AA">
              <w:rPr>
                <w:rFonts w:ascii="Verdana" w:eastAsia="Times New Roman" w:hAnsi="Verdana" w:cs="Times New Roman"/>
                <w:color w:val="1F1E1D"/>
                <w:sz w:val="17"/>
                <w:szCs w:val="17"/>
              </w:rPr>
              <w:br/>
              <w:t>- en la confección del balance de ejercicio no constan casos excepcionales que hayan presionado el recurso derogatorio expresado en el art. 2423, inc. 4 del C.C., y el </w:t>
            </w:r>
            <w:r w:rsidRPr="00F060AA">
              <w:rPr>
                <w:rFonts w:ascii="Verdana" w:eastAsia="Times New Roman" w:hAnsi="Verdana" w:cs="Times New Roman"/>
                <w:color w:val="1F1E1D"/>
                <w:sz w:val="17"/>
                <w:szCs w:val="17"/>
              </w:rPr>
              <w:br/>
              <w:t>art. 2423-bis, inc. 2 del C.C.;</w:t>
            </w:r>
            <w:r w:rsidRPr="00F060AA">
              <w:rPr>
                <w:rFonts w:ascii="Verdana" w:eastAsia="Times New Roman" w:hAnsi="Verdana" w:cs="Times New Roman"/>
                <w:color w:val="1F1E1D"/>
                <w:sz w:val="17"/>
                <w:szCs w:val="17"/>
              </w:rPr>
              <w:br/>
              <w:t>- la sociedad adhiere al consolidado fiscal, dirigido por la sociedad controlante de última instancia, XXX S.r.l., que elabora también el balance consolidado, eximiendo, consecuentemente, a XXX S.p.A. de dicha obligación;</w:t>
            </w:r>
            <w:r w:rsidRPr="00F060AA">
              <w:rPr>
                <w:rFonts w:ascii="Verdana" w:eastAsia="Times New Roman" w:hAnsi="Verdana" w:cs="Times New Roman"/>
                <w:color w:val="1F1E1D"/>
                <w:sz w:val="17"/>
                <w:szCs w:val="17"/>
              </w:rPr>
              <w:br/>
              <w:t xml:space="preserve">- se invita a perseverar en el monitoreo de la </w:t>
            </w:r>
            <w:r w:rsidRPr="00F060AA">
              <w:rPr>
                <w:rFonts w:ascii="Verdana" w:eastAsia="Times New Roman" w:hAnsi="Verdana" w:cs="Times New Roman"/>
                <w:color w:val="1F1E1D"/>
                <w:sz w:val="17"/>
                <w:szCs w:val="17"/>
              </w:rPr>
              <w:lastRenderedPageBreak/>
              <w:t>capacidad de realización de los créditos residuales, incluso respecto de XXX S.c.a.r.l., efectuando, de ser necesario, ulteriores asignaciones a la previsión por desvalorización de créditos;</w:t>
            </w:r>
            <w:r w:rsidRPr="00F060AA">
              <w:rPr>
                <w:rFonts w:ascii="Verdana" w:eastAsia="Times New Roman" w:hAnsi="Verdana" w:cs="Times New Roman"/>
                <w:color w:val="1F1E1D"/>
                <w:sz w:val="17"/>
                <w:szCs w:val="17"/>
              </w:rPr>
              <w:br/>
              <w:t>- las cuentas de orden de las notas complementarias comprenden garantías personales (fianzas constituidas a favor de sociedades controladas, vinculadas y de otras sociedades, y cartas de patrocinio) y garantías reales constituidas a favor de terceros (prenda sobre acciones de sociedades controladas y vinculadas);</w:t>
            </w:r>
            <w:r w:rsidRPr="00F060AA">
              <w:rPr>
                <w:rFonts w:ascii="Verdana" w:eastAsia="Times New Roman" w:hAnsi="Verdana" w:cs="Times New Roman"/>
                <w:color w:val="1F1E1D"/>
                <w:sz w:val="17"/>
                <w:szCs w:val="17"/>
              </w:rPr>
              <w:br/>
              <w:t>- la ganancia del ejercicio, de € 726.587, se destina en su totalidad a reserva, como se indica en la nota complementaria. </w:t>
            </w:r>
            <w:r w:rsidRPr="00F060AA">
              <w:rPr>
                <w:rFonts w:ascii="Verdana" w:eastAsia="Times New Roman" w:hAnsi="Verdana" w:cs="Times New Roman"/>
                <w:color w:val="1F1E1D"/>
                <w:sz w:val="17"/>
                <w:szCs w:val="17"/>
              </w:rPr>
              <w:br/>
            </w:r>
            <w:r w:rsidRPr="00F060AA">
              <w:rPr>
                <w:rFonts w:ascii="Verdana" w:eastAsia="Times New Roman" w:hAnsi="Verdana" w:cs="Times New Roman"/>
                <w:color w:val="1F1E1D"/>
                <w:sz w:val="17"/>
                <w:szCs w:val="17"/>
              </w:rPr>
              <w:br/>
              <w:t>A la luz de cuanto precede, de los cotejos y las detecciones efectuadas, de los elementos obtenidos en el desarrollo de los controles estadísticos y fundándose en cuanto es de su conocimiento, quienes suscriben consideran que el balance a ustedes sometido refleja de manera correcta y veraz la situación patrimonial y financiera, así como también el resultado del ejercicio, y se manifiestan, consecuentemente, a favor de la aprobación del balance al 31 de diciembre de 2017.</w:t>
            </w:r>
            <w:r w:rsidRPr="00F060AA">
              <w:rPr>
                <w:rFonts w:ascii="Verdana" w:eastAsia="Times New Roman" w:hAnsi="Verdana" w:cs="Times New Roman"/>
                <w:color w:val="1F1E1D"/>
                <w:sz w:val="17"/>
                <w:szCs w:val="17"/>
              </w:rPr>
              <w:br/>
            </w:r>
            <w:r w:rsidRPr="00F060AA">
              <w:rPr>
                <w:rFonts w:ascii="Verdana" w:eastAsia="Times New Roman" w:hAnsi="Verdana" w:cs="Times New Roman"/>
                <w:color w:val="1F1E1D"/>
                <w:sz w:val="17"/>
                <w:szCs w:val="17"/>
              </w:rPr>
              <w:br/>
              <w:t>Por carta del 12 de abril de 2018, los accionistas renunciaron a los términos del ex – art.2429, </w:t>
            </w:r>
            <w:r w:rsidRPr="00F060AA">
              <w:rPr>
                <w:rFonts w:ascii="Verdana" w:eastAsia="Times New Roman" w:hAnsi="Verdana" w:cs="Times New Roman"/>
                <w:color w:val="1F1E1D"/>
                <w:sz w:val="17"/>
                <w:szCs w:val="17"/>
              </w:rPr>
              <w:br/>
              <w:t>inc. 3 del C.C., en ocasión de la primera convocatoria asamblearia. </w:t>
            </w:r>
            <w:r w:rsidRPr="00F060AA">
              <w:rPr>
                <w:rFonts w:ascii="Verdana" w:eastAsia="Times New Roman" w:hAnsi="Verdana" w:cs="Times New Roman"/>
                <w:color w:val="1F1E1D"/>
                <w:sz w:val="17"/>
                <w:szCs w:val="17"/>
              </w:rPr>
              <w:br/>
            </w:r>
            <w:r w:rsidRPr="00F060AA">
              <w:rPr>
                <w:rFonts w:ascii="Verdana" w:eastAsia="Times New Roman" w:hAnsi="Verdana" w:cs="Times New Roman"/>
                <w:color w:val="1F1E1D"/>
                <w:sz w:val="17"/>
                <w:szCs w:val="17"/>
              </w:rPr>
              <w:br/>
            </w:r>
            <w:r w:rsidRPr="00F060AA">
              <w:rPr>
                <w:rFonts w:ascii="Verdana" w:eastAsia="Times New Roman" w:hAnsi="Verdana" w:cs="Times New Roman"/>
                <w:color w:val="1F1E1D"/>
                <w:sz w:val="17"/>
                <w:szCs w:val="17"/>
                <w:lang w:val="fr-FR"/>
              </w:rPr>
              <w:t>Milán, el 26 de abril de 2018</w:t>
            </w:r>
            <w:r w:rsidRPr="00F060AA">
              <w:rPr>
                <w:rFonts w:ascii="Verdana" w:eastAsia="Times New Roman" w:hAnsi="Verdana" w:cs="Times New Roman"/>
                <w:color w:val="1F1E1D"/>
                <w:sz w:val="17"/>
                <w:szCs w:val="17"/>
                <w:lang w:val="fr-FR"/>
              </w:rPr>
              <w:br/>
            </w:r>
            <w:r w:rsidRPr="00F060AA">
              <w:rPr>
                <w:rFonts w:ascii="Verdana" w:eastAsia="Times New Roman" w:hAnsi="Verdana" w:cs="Times New Roman"/>
                <w:color w:val="1F1E1D"/>
                <w:sz w:val="17"/>
                <w:szCs w:val="17"/>
                <w:lang w:val="fr-FR"/>
              </w:rPr>
              <w:br/>
              <w:t>LA COMISIÓN FISCALIZADORA</w:t>
            </w:r>
          </w:p>
        </w:tc>
      </w:tr>
    </w:tbl>
    <w:p w14:paraId="665E4EB1" w14:textId="6C835F45" w:rsidR="006202F2" w:rsidRDefault="006202F2"/>
    <w:p w14:paraId="7A09834B" w14:textId="77777777" w:rsidR="006202F2" w:rsidRPr="003D53E3" w:rsidRDefault="006202F2" w:rsidP="006202F2">
      <w:pPr>
        <w:jc w:val="both"/>
        <w:rPr>
          <w:rFonts w:ascii="Book Antiqua" w:hAnsi="Book Antiqua"/>
          <w:b/>
          <w:bCs/>
          <w:i/>
          <w:sz w:val="32"/>
          <w:szCs w:val="32"/>
        </w:rPr>
      </w:pPr>
      <w:r w:rsidRPr="00FF6188">
        <w:rPr>
          <w:rFonts w:ascii="Book Antiqua" w:hAnsi="Book Antiqua"/>
          <w:b/>
          <w:bCs/>
          <w:i/>
          <w:sz w:val="32"/>
          <w:szCs w:val="32"/>
          <w:lang w:val="fr-FR"/>
        </w:rPr>
        <w:t xml:space="preserve">Information professionnelle en préparation – </w:t>
      </w:r>
      <w:r>
        <w:rPr>
          <w:rFonts w:ascii="Book Antiqua" w:hAnsi="Book Antiqua"/>
          <w:b/>
          <w:bCs/>
          <w:i/>
          <w:sz w:val="32"/>
          <w:szCs w:val="32"/>
          <w:lang w:val="fr-FR"/>
        </w:rPr>
        <w:br/>
      </w:r>
      <w:r w:rsidRPr="003D53E3">
        <w:rPr>
          <w:rFonts w:ascii="Book Antiqua" w:hAnsi="Book Antiqua"/>
          <w:b/>
          <w:bCs/>
          <w:i/>
          <w:sz w:val="32"/>
          <w:szCs w:val="32"/>
        </w:rPr>
        <w:t>Informe profesional de preparación</w:t>
      </w:r>
    </w:p>
    <w:tbl>
      <w:tblPr>
        <w:tblW w:w="5187"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F7F1"/>
        <w:tblCellMar>
          <w:top w:w="45" w:type="dxa"/>
          <w:left w:w="45" w:type="dxa"/>
          <w:bottom w:w="45" w:type="dxa"/>
          <w:right w:w="45" w:type="dxa"/>
        </w:tblCellMar>
        <w:tblLook w:val="04A0" w:firstRow="1" w:lastRow="0" w:firstColumn="1" w:lastColumn="0" w:noHBand="0" w:noVBand="1"/>
      </w:tblPr>
      <w:tblGrid>
        <w:gridCol w:w="4532"/>
        <w:gridCol w:w="4869"/>
      </w:tblGrid>
      <w:tr w:rsidR="006202F2" w:rsidRPr="006F0E07" w14:paraId="1E0B8795" w14:textId="77777777" w:rsidTr="0079581E">
        <w:trPr>
          <w:tblCellSpacing w:w="7" w:type="dxa"/>
        </w:trPr>
        <w:tc>
          <w:tcPr>
            <w:tcW w:w="2399" w:type="pct"/>
            <w:shd w:val="clear" w:color="auto" w:fill="F8F7F1"/>
            <w:hideMark/>
          </w:tcPr>
          <w:p w14:paraId="59FEBAE6" w14:textId="77777777" w:rsidR="006202F2" w:rsidRDefault="006202F2" w:rsidP="0079581E">
            <w:pPr>
              <w:spacing w:before="75" w:after="0" w:line="240" w:lineRule="auto"/>
              <w:rPr>
                <w:rFonts w:ascii="Verdana" w:eastAsia="Times New Roman" w:hAnsi="Verdana" w:cs="Times New Roman"/>
                <w:color w:val="1F1E1D"/>
                <w:sz w:val="17"/>
                <w:szCs w:val="17"/>
                <w:lang w:val="fr-FR"/>
              </w:rPr>
            </w:pPr>
            <w:r w:rsidRPr="00ED1A14">
              <w:rPr>
                <w:rFonts w:ascii="Verdana" w:eastAsia="Times New Roman" w:hAnsi="Verdana" w:cs="Times New Roman"/>
                <w:b/>
                <w:bCs/>
                <w:color w:val="1F1E1D"/>
                <w:sz w:val="17"/>
                <w:szCs w:val="17"/>
                <w:lang w:val="fr-FR"/>
              </w:rPr>
              <w:t>Source text - French</w:t>
            </w:r>
            <w:r w:rsidRPr="00ED1A14">
              <w:rPr>
                <w:rFonts w:ascii="Verdana" w:eastAsia="Times New Roman" w:hAnsi="Verdana" w:cs="Times New Roman"/>
                <w:color w:val="1F1E1D"/>
                <w:sz w:val="17"/>
                <w:szCs w:val="17"/>
                <w:lang w:val="fr-FR"/>
              </w:rPr>
              <w:br/>
            </w:r>
            <w:r>
              <w:rPr>
                <w:rFonts w:ascii="Verdana" w:eastAsia="Times New Roman" w:hAnsi="Verdana" w:cs="Times New Roman"/>
                <w:color w:val="1F1E1D"/>
                <w:sz w:val="17"/>
                <w:szCs w:val="17"/>
                <w:lang w:val="fr-FR"/>
              </w:rPr>
              <w:t>POSOLOGIE/MODE D’EMPLOI</w:t>
            </w:r>
          </w:p>
          <w:p w14:paraId="1C54DDB4" w14:textId="77777777" w:rsidR="006202F2" w:rsidRPr="003108DD" w:rsidRDefault="006202F2" w:rsidP="0079581E">
            <w:pPr>
              <w:spacing w:before="75" w:after="0" w:line="240" w:lineRule="auto"/>
              <w:rPr>
                <w:rFonts w:ascii="Verdana" w:eastAsia="Times New Roman" w:hAnsi="Verdana" w:cs="Times New Roman"/>
                <w:color w:val="1F1E1D"/>
                <w:sz w:val="17"/>
                <w:szCs w:val="17"/>
                <w:lang w:val="fr-FR"/>
              </w:rPr>
            </w:pPr>
            <w:r w:rsidRPr="00ED1A14">
              <w:rPr>
                <w:rFonts w:ascii="Verdana" w:eastAsia="Times New Roman" w:hAnsi="Verdana" w:cs="Times New Roman"/>
                <w:color w:val="1F1E1D"/>
                <w:sz w:val="17"/>
                <w:szCs w:val="17"/>
                <w:lang w:val="fr-FR"/>
              </w:rPr>
              <w:t>La posologie usuelle est d’une injection intramusculaire de</w:t>
            </w:r>
            <w:r>
              <w:rPr>
                <w:rFonts w:ascii="Verdana" w:eastAsia="Times New Roman" w:hAnsi="Verdana" w:cs="Times New Roman"/>
                <w:color w:val="1F1E1D"/>
                <w:sz w:val="17"/>
                <w:szCs w:val="17"/>
                <w:lang w:val="fr-FR"/>
              </w:rPr>
              <w:t xml:space="preserve"> </w:t>
            </w:r>
            <w:r w:rsidRPr="00ED1A14">
              <w:rPr>
                <w:rFonts w:ascii="Verdana" w:hAnsi="Verdana"/>
                <w:sz w:val="17"/>
                <w:szCs w:val="17"/>
                <w:lang w:val="fr-FR"/>
              </w:rPr>
              <w:t>Pamorelin LA</w:t>
            </w:r>
            <w:r w:rsidRPr="00ED1A14">
              <w:rPr>
                <w:rFonts w:ascii="Verdana" w:hAnsi="Verdana"/>
                <w:b/>
                <w:sz w:val="17"/>
                <w:szCs w:val="17"/>
                <w:lang w:val="fr-FR"/>
              </w:rPr>
              <w:t>®</w:t>
            </w:r>
            <w:r w:rsidRPr="00ED1A14">
              <w:rPr>
                <w:rFonts w:ascii="Verdana" w:hAnsi="Verdana"/>
                <w:sz w:val="17"/>
                <w:szCs w:val="17"/>
                <w:lang w:val="fr-FR"/>
              </w:rPr>
              <w:t>11</w:t>
            </w:r>
            <w:r>
              <w:rPr>
                <w:rFonts w:ascii="Verdana" w:hAnsi="Verdana"/>
                <w:sz w:val="17"/>
                <w:szCs w:val="17"/>
                <w:lang w:val="fr-FR"/>
              </w:rPr>
              <w:t>.</w:t>
            </w:r>
            <w:r w:rsidRPr="00ED1A14">
              <w:rPr>
                <w:rFonts w:ascii="Verdana" w:hAnsi="Verdana"/>
                <w:sz w:val="17"/>
                <w:szCs w:val="17"/>
                <w:lang w:val="fr-FR"/>
              </w:rPr>
              <w:t>25 mg</w:t>
            </w:r>
            <w:r>
              <w:rPr>
                <w:rFonts w:ascii="Verdana" w:hAnsi="Verdana"/>
                <w:sz w:val="17"/>
                <w:szCs w:val="17"/>
                <w:lang w:val="fr-FR"/>
              </w:rPr>
              <w:t xml:space="preserve"> toutes les 12 semaines sous contrôle médical. Du fait que </w:t>
            </w:r>
            <w:r w:rsidRPr="00ED1A14">
              <w:rPr>
                <w:rFonts w:ascii="Verdana" w:hAnsi="Verdana"/>
                <w:sz w:val="17"/>
                <w:szCs w:val="17"/>
                <w:lang w:val="fr-FR"/>
              </w:rPr>
              <w:t>Pamorelin LA</w:t>
            </w:r>
            <w:r w:rsidRPr="00ED1A14">
              <w:rPr>
                <w:rFonts w:ascii="Verdana" w:hAnsi="Verdana"/>
                <w:b/>
                <w:sz w:val="17"/>
                <w:szCs w:val="17"/>
                <w:lang w:val="fr-FR"/>
              </w:rPr>
              <w:t>®</w:t>
            </w:r>
            <w:r w:rsidRPr="00ED1A14">
              <w:rPr>
                <w:rFonts w:ascii="Verdana" w:hAnsi="Verdana"/>
                <w:sz w:val="17"/>
                <w:szCs w:val="17"/>
                <w:lang w:val="fr-FR"/>
              </w:rPr>
              <w:t>11</w:t>
            </w:r>
            <w:r>
              <w:rPr>
                <w:rFonts w:ascii="Verdana" w:hAnsi="Verdana"/>
                <w:sz w:val="17"/>
                <w:szCs w:val="17"/>
                <w:lang w:val="fr-FR"/>
              </w:rPr>
              <w:t>.</w:t>
            </w:r>
            <w:r w:rsidRPr="00ED1A14">
              <w:rPr>
                <w:rFonts w:ascii="Verdana" w:hAnsi="Verdana"/>
                <w:sz w:val="17"/>
                <w:szCs w:val="17"/>
                <w:lang w:val="fr-FR"/>
              </w:rPr>
              <w:t>25 mg</w:t>
            </w:r>
            <w:r>
              <w:rPr>
                <w:rFonts w:ascii="Verdana" w:hAnsi="Verdana"/>
                <w:sz w:val="17"/>
                <w:szCs w:val="17"/>
                <w:lang w:val="fr-FR"/>
              </w:rPr>
              <w:t xml:space="preserve"> est une suspension d’un microgranulé, toute injection intravasculaire doit absolument être évitée.</w:t>
            </w:r>
            <w:r w:rsidRPr="00ED1A14">
              <w:rPr>
                <w:rFonts w:ascii="Verdana" w:eastAsia="Times New Roman" w:hAnsi="Verdana" w:cs="Times New Roman"/>
                <w:color w:val="1F1E1D"/>
                <w:sz w:val="17"/>
                <w:szCs w:val="17"/>
                <w:lang w:val="fr-FR"/>
              </w:rPr>
              <w:br/>
            </w:r>
            <w:r w:rsidRPr="00ED1A14">
              <w:rPr>
                <w:rFonts w:ascii="Verdana" w:eastAsia="Times New Roman" w:hAnsi="Verdana" w:cs="Times New Roman"/>
                <w:color w:val="1F1E1D"/>
                <w:sz w:val="17"/>
                <w:szCs w:val="17"/>
                <w:lang w:val="fr-FR"/>
              </w:rPr>
              <w:br/>
              <w:t xml:space="preserve">La préparation de </w:t>
            </w:r>
            <w:r w:rsidRPr="00ED1A14">
              <w:rPr>
                <w:rFonts w:ascii="Verdana" w:hAnsi="Verdana"/>
                <w:sz w:val="17"/>
                <w:szCs w:val="17"/>
                <w:lang w:val="fr-FR"/>
              </w:rPr>
              <w:t>Pamorelin LA</w:t>
            </w:r>
            <w:r w:rsidRPr="00ED1A14">
              <w:rPr>
                <w:rFonts w:ascii="Verdana" w:hAnsi="Verdana"/>
                <w:b/>
                <w:sz w:val="17"/>
                <w:szCs w:val="17"/>
                <w:lang w:val="fr-FR"/>
              </w:rPr>
              <w:t>®</w:t>
            </w:r>
            <w:r w:rsidRPr="00ED1A14">
              <w:rPr>
                <w:rFonts w:ascii="Verdana" w:hAnsi="Verdana"/>
                <w:sz w:val="17"/>
                <w:szCs w:val="17"/>
                <w:lang w:val="fr-FR"/>
              </w:rPr>
              <w:t>11</w:t>
            </w:r>
            <w:r>
              <w:rPr>
                <w:rFonts w:ascii="Verdana" w:hAnsi="Verdana"/>
                <w:sz w:val="17"/>
                <w:szCs w:val="17"/>
                <w:lang w:val="fr-FR"/>
              </w:rPr>
              <w:t>.</w:t>
            </w:r>
            <w:r w:rsidRPr="00ED1A14">
              <w:rPr>
                <w:rFonts w:ascii="Verdana" w:hAnsi="Verdana"/>
                <w:sz w:val="17"/>
                <w:szCs w:val="17"/>
                <w:lang w:val="fr-FR"/>
              </w:rPr>
              <w:t>25 mg</w:t>
            </w:r>
            <w:r>
              <w:rPr>
                <w:rFonts w:ascii="Verdana" w:hAnsi="Verdana"/>
                <w:sz w:val="17"/>
                <w:szCs w:val="17"/>
                <w:lang w:val="fr-FR"/>
              </w:rPr>
              <w:t xml:space="preserve"> </w:t>
            </w:r>
            <w:r w:rsidRPr="00ED1A14">
              <w:rPr>
                <w:rFonts w:ascii="Verdana" w:hAnsi="Verdana"/>
                <w:sz w:val="17"/>
                <w:szCs w:val="17"/>
                <w:lang w:val="fr-FR"/>
              </w:rPr>
              <w:t>ne doit être utilisée que</w:t>
            </w:r>
            <w:r>
              <w:rPr>
                <w:rFonts w:ascii="Verdana" w:hAnsi="Verdana"/>
                <w:sz w:val="17"/>
                <w:szCs w:val="17"/>
                <w:lang w:val="fr-FR"/>
              </w:rPr>
              <w:t xml:space="preserve"> par les médecins ou le personnel médical. </w:t>
            </w:r>
          </w:p>
          <w:p w14:paraId="7EC9F530" w14:textId="77777777" w:rsidR="006202F2" w:rsidRDefault="006202F2" w:rsidP="0079581E">
            <w:pPr>
              <w:spacing w:before="75" w:after="0" w:line="240" w:lineRule="auto"/>
              <w:rPr>
                <w:rFonts w:ascii="Verdana" w:eastAsia="Times New Roman" w:hAnsi="Verdana" w:cs="Times New Roman"/>
                <w:color w:val="1F1E1D"/>
                <w:sz w:val="17"/>
                <w:szCs w:val="17"/>
                <w:lang w:val="fr-FR"/>
              </w:rPr>
            </w:pPr>
            <w:r w:rsidRPr="00ED1A14">
              <w:rPr>
                <w:rFonts w:ascii="Verdana" w:eastAsia="Times New Roman" w:hAnsi="Verdana" w:cs="Times New Roman"/>
                <w:color w:val="1F1E1D"/>
                <w:sz w:val="17"/>
                <w:szCs w:val="17"/>
                <w:lang w:val="fr-FR"/>
              </w:rPr>
              <w:t>Le site d’injection doit changer périodiquement.</w:t>
            </w:r>
          </w:p>
          <w:p w14:paraId="24D0387C" w14:textId="77777777" w:rsidR="006202F2" w:rsidRDefault="006202F2" w:rsidP="0079581E">
            <w:pPr>
              <w:spacing w:before="75" w:after="0" w:line="240" w:lineRule="auto"/>
              <w:rPr>
                <w:rFonts w:ascii="Verdana" w:eastAsia="Times New Roman" w:hAnsi="Verdana" w:cs="Times New Roman"/>
                <w:color w:val="1F1E1D"/>
                <w:sz w:val="17"/>
                <w:szCs w:val="17"/>
                <w:lang w:val="fr-FR"/>
              </w:rPr>
            </w:pPr>
          </w:p>
          <w:p w14:paraId="6313C53C" w14:textId="77777777" w:rsidR="006202F2" w:rsidRDefault="006202F2" w:rsidP="0079581E">
            <w:pPr>
              <w:spacing w:before="75" w:after="0" w:line="240" w:lineRule="auto"/>
              <w:rPr>
                <w:rFonts w:ascii="Verdana" w:eastAsia="Times New Roman" w:hAnsi="Verdana" w:cs="Times New Roman"/>
                <w:color w:val="1F1E1D"/>
                <w:sz w:val="17"/>
                <w:szCs w:val="17"/>
                <w:lang w:val="fr-FR"/>
              </w:rPr>
            </w:pPr>
            <w:r>
              <w:rPr>
                <w:rFonts w:ascii="Verdana" w:eastAsia="Times New Roman" w:hAnsi="Verdana" w:cs="Times New Roman"/>
                <w:color w:val="1F1E1D"/>
                <w:sz w:val="17"/>
                <w:szCs w:val="17"/>
                <w:lang w:val="fr-FR"/>
              </w:rPr>
              <w:t>CONTRÔLE DU TRAITEMENT</w:t>
            </w:r>
          </w:p>
          <w:p w14:paraId="088286FC" w14:textId="77777777" w:rsidR="006202F2" w:rsidRDefault="006202F2" w:rsidP="0079581E">
            <w:pPr>
              <w:spacing w:before="75" w:after="0" w:line="240" w:lineRule="auto"/>
              <w:rPr>
                <w:rFonts w:ascii="Verdana" w:eastAsia="Times New Roman" w:hAnsi="Verdana" w:cs="Times New Roman"/>
                <w:i/>
                <w:color w:val="1F1E1D"/>
                <w:sz w:val="17"/>
                <w:szCs w:val="17"/>
                <w:lang w:val="fr-FR"/>
              </w:rPr>
            </w:pPr>
            <w:r w:rsidRPr="003108DD">
              <w:rPr>
                <w:rFonts w:ascii="Verdana" w:eastAsia="Times New Roman" w:hAnsi="Verdana" w:cs="Times New Roman"/>
                <w:i/>
                <w:color w:val="1F1E1D"/>
                <w:sz w:val="17"/>
                <w:szCs w:val="17"/>
                <w:lang w:val="fr-FR"/>
              </w:rPr>
              <w:t>Cancer de la prostate</w:t>
            </w:r>
          </w:p>
          <w:p w14:paraId="12813283" w14:textId="77777777" w:rsidR="006202F2" w:rsidRPr="00D66290" w:rsidRDefault="006202F2" w:rsidP="0079581E">
            <w:pPr>
              <w:spacing w:before="75" w:after="0" w:line="240" w:lineRule="auto"/>
              <w:rPr>
                <w:rFonts w:ascii="Verdana" w:eastAsia="Times New Roman" w:hAnsi="Verdana" w:cs="Times New Roman"/>
                <w:i/>
                <w:color w:val="1F1E1D"/>
                <w:sz w:val="17"/>
                <w:szCs w:val="17"/>
                <w:lang w:val="fr-FR"/>
              </w:rPr>
            </w:pPr>
            <w:r w:rsidRPr="00ED1A14">
              <w:rPr>
                <w:rFonts w:ascii="Verdana" w:eastAsia="Times New Roman" w:hAnsi="Verdana" w:cs="Times New Roman"/>
                <w:color w:val="1F1E1D"/>
                <w:sz w:val="17"/>
                <w:szCs w:val="17"/>
                <w:lang w:val="fr-FR"/>
              </w:rPr>
              <w:t>L’efficacité du t</w:t>
            </w:r>
            <w:r>
              <w:rPr>
                <w:rFonts w:ascii="Verdana" w:eastAsia="Times New Roman" w:hAnsi="Verdana" w:cs="Times New Roman"/>
                <w:color w:val="1F1E1D"/>
                <w:sz w:val="17"/>
                <w:szCs w:val="17"/>
                <w:lang w:val="fr-FR"/>
              </w:rPr>
              <w:t xml:space="preserve">raitement peut être contrôlée par dosage des taux sériques de la testostérone et de l’antigène spécifique de la prostate (PSA) et appréciation subjective (amélioration des symptômes tels que troubles mictionnels, douleurs cancéreuses, etc.). La testostérone peut être </w:t>
            </w:r>
            <w:r>
              <w:rPr>
                <w:rFonts w:ascii="Verdana" w:eastAsia="Times New Roman" w:hAnsi="Verdana" w:cs="Times New Roman"/>
                <w:color w:val="1F1E1D"/>
                <w:sz w:val="17"/>
                <w:szCs w:val="17"/>
                <w:lang w:val="fr-FR"/>
              </w:rPr>
              <w:lastRenderedPageBreak/>
              <w:t>dosée immédiatement avant ou après l’injection.</w:t>
            </w:r>
            <w:r w:rsidRPr="00ED1A14">
              <w:rPr>
                <w:rFonts w:ascii="Verdana" w:eastAsia="Times New Roman" w:hAnsi="Verdana" w:cs="Times New Roman"/>
                <w:color w:val="1F1E1D"/>
                <w:sz w:val="17"/>
                <w:szCs w:val="17"/>
                <w:lang w:val="fr-FR"/>
              </w:rPr>
              <w:br/>
            </w:r>
          </w:p>
          <w:p w14:paraId="017B9194" w14:textId="77777777" w:rsidR="006202F2" w:rsidRPr="003108DD" w:rsidRDefault="006202F2" w:rsidP="0079581E">
            <w:pPr>
              <w:spacing w:before="75" w:after="0" w:line="240" w:lineRule="auto"/>
              <w:rPr>
                <w:rFonts w:ascii="Verdana" w:hAnsi="Verdana"/>
                <w:i/>
                <w:sz w:val="17"/>
                <w:szCs w:val="17"/>
                <w:lang w:val="fr-FR"/>
              </w:rPr>
            </w:pPr>
            <w:r w:rsidRPr="003108DD">
              <w:rPr>
                <w:rFonts w:ascii="Verdana" w:hAnsi="Verdana"/>
                <w:i/>
                <w:sz w:val="17"/>
                <w:szCs w:val="17"/>
                <w:lang w:val="fr-FR"/>
              </w:rPr>
              <w:t>Recommandations posologiques particulières</w:t>
            </w:r>
          </w:p>
          <w:p w14:paraId="7C8C80E7" w14:textId="77777777" w:rsidR="006202F2" w:rsidRDefault="006202F2" w:rsidP="0079581E">
            <w:pPr>
              <w:spacing w:before="75" w:after="0" w:line="240" w:lineRule="auto"/>
              <w:rPr>
                <w:rFonts w:ascii="Verdana" w:hAnsi="Verdana"/>
                <w:sz w:val="17"/>
                <w:szCs w:val="17"/>
                <w:lang w:val="fr-FR"/>
              </w:rPr>
            </w:pPr>
          </w:p>
          <w:p w14:paraId="353A0938" w14:textId="77777777" w:rsidR="006202F2" w:rsidRDefault="006202F2" w:rsidP="0079581E">
            <w:pPr>
              <w:spacing w:before="75" w:after="0" w:line="240" w:lineRule="auto"/>
              <w:rPr>
                <w:rFonts w:ascii="Verdana" w:hAnsi="Verdana"/>
                <w:sz w:val="17"/>
                <w:szCs w:val="17"/>
                <w:lang w:val="fr-FR"/>
              </w:rPr>
            </w:pPr>
            <w:r w:rsidRPr="003108DD">
              <w:rPr>
                <w:rFonts w:ascii="Verdana" w:hAnsi="Verdana"/>
                <w:i/>
                <w:sz w:val="17"/>
                <w:szCs w:val="17"/>
                <w:lang w:val="fr-FR"/>
              </w:rPr>
              <w:t>Enfants/adolescents</w:t>
            </w:r>
            <w:r>
              <w:rPr>
                <w:rFonts w:ascii="Verdana" w:hAnsi="Verdana"/>
                <w:sz w:val="17"/>
                <w:szCs w:val="17"/>
                <w:lang w:val="fr-FR"/>
              </w:rPr>
              <w:t> </w:t>
            </w:r>
            <w:r w:rsidRPr="003108DD">
              <w:rPr>
                <w:rFonts w:ascii="Verdana" w:hAnsi="Verdana"/>
                <w:i/>
                <w:sz w:val="17"/>
                <w:szCs w:val="17"/>
                <w:lang w:val="fr-FR"/>
              </w:rPr>
              <w:t>:</w:t>
            </w:r>
            <w:r>
              <w:rPr>
                <w:rFonts w:ascii="Verdana" w:hAnsi="Verdana"/>
                <w:sz w:val="17"/>
                <w:szCs w:val="17"/>
                <w:lang w:val="fr-FR"/>
              </w:rPr>
              <w:t xml:space="preserve"> La sécurité et l’efficacité de </w:t>
            </w:r>
            <w:r w:rsidRPr="00ED1A14">
              <w:rPr>
                <w:rFonts w:ascii="Verdana" w:hAnsi="Verdana"/>
                <w:sz w:val="17"/>
                <w:szCs w:val="17"/>
                <w:lang w:val="fr-FR"/>
              </w:rPr>
              <w:t>Pamorelin LA</w:t>
            </w:r>
            <w:r>
              <w:rPr>
                <w:rFonts w:ascii="Verdana" w:hAnsi="Verdana"/>
                <w:sz w:val="17"/>
                <w:szCs w:val="17"/>
                <w:lang w:val="fr-FR"/>
              </w:rPr>
              <w:t xml:space="preserve"> </w:t>
            </w:r>
            <w:r w:rsidRPr="00ED1A14">
              <w:rPr>
                <w:rFonts w:ascii="Verdana" w:hAnsi="Verdana"/>
                <w:sz w:val="17"/>
                <w:szCs w:val="17"/>
                <w:lang w:val="fr-FR"/>
              </w:rPr>
              <w:t>11</w:t>
            </w:r>
            <w:r>
              <w:rPr>
                <w:rFonts w:ascii="Verdana" w:hAnsi="Verdana"/>
                <w:sz w:val="17"/>
                <w:szCs w:val="17"/>
                <w:lang w:val="fr-FR"/>
              </w:rPr>
              <w:t>.</w:t>
            </w:r>
            <w:r w:rsidRPr="00ED1A14">
              <w:rPr>
                <w:rFonts w:ascii="Verdana" w:hAnsi="Verdana"/>
                <w:sz w:val="17"/>
                <w:szCs w:val="17"/>
                <w:lang w:val="fr-FR"/>
              </w:rPr>
              <w:t>25 mg</w:t>
            </w:r>
            <w:r>
              <w:rPr>
                <w:rFonts w:ascii="Verdana" w:hAnsi="Verdana"/>
                <w:sz w:val="17"/>
                <w:szCs w:val="17"/>
                <w:lang w:val="fr-FR"/>
              </w:rPr>
              <w:t xml:space="preserve"> n’ont pas été étudiées chez les enfants et et les adolescents. Aucune indication n’existe donc pour ce groupe d’âge.</w:t>
            </w:r>
          </w:p>
          <w:p w14:paraId="0E806C8F" w14:textId="77777777" w:rsidR="006202F2" w:rsidRDefault="006202F2" w:rsidP="0079581E">
            <w:pPr>
              <w:spacing w:before="75" w:after="0" w:line="240" w:lineRule="auto"/>
              <w:rPr>
                <w:rFonts w:ascii="Verdana" w:hAnsi="Verdana"/>
                <w:sz w:val="17"/>
                <w:szCs w:val="17"/>
                <w:lang w:val="fr-FR"/>
              </w:rPr>
            </w:pPr>
            <w:r w:rsidRPr="003108DD">
              <w:rPr>
                <w:rFonts w:ascii="Verdana" w:hAnsi="Verdana"/>
                <w:i/>
                <w:sz w:val="17"/>
                <w:szCs w:val="17"/>
                <w:lang w:val="fr-FR"/>
              </w:rPr>
              <w:t>Patients âgés :</w:t>
            </w:r>
            <w:r>
              <w:rPr>
                <w:rFonts w:ascii="Verdana" w:hAnsi="Verdana"/>
                <w:sz w:val="17"/>
                <w:szCs w:val="17"/>
                <w:lang w:val="fr-FR"/>
              </w:rPr>
              <w:t xml:space="preserve"> Une adaptation de la dose en fonction de l’âge n’est pas nécessaire.</w:t>
            </w:r>
          </w:p>
          <w:p w14:paraId="6FD15ACD" w14:textId="77777777" w:rsidR="006202F2" w:rsidRDefault="006202F2" w:rsidP="0079581E">
            <w:pPr>
              <w:spacing w:before="75" w:after="0" w:line="240" w:lineRule="auto"/>
              <w:rPr>
                <w:rFonts w:ascii="Verdana" w:hAnsi="Verdana"/>
                <w:sz w:val="17"/>
                <w:szCs w:val="17"/>
                <w:lang w:val="fr-FR"/>
              </w:rPr>
            </w:pPr>
            <w:r>
              <w:rPr>
                <w:rFonts w:ascii="Verdana" w:hAnsi="Verdana"/>
                <w:sz w:val="17"/>
                <w:szCs w:val="17"/>
                <w:lang w:val="fr-FR"/>
              </w:rPr>
              <w:t>Aucune indication de ce médicament n’existe pour les femmes ménopausées.</w:t>
            </w:r>
          </w:p>
          <w:p w14:paraId="4D9554CC" w14:textId="77777777" w:rsidR="006202F2" w:rsidRDefault="006202F2" w:rsidP="0079581E">
            <w:pPr>
              <w:spacing w:before="75" w:after="0" w:line="240" w:lineRule="auto"/>
              <w:rPr>
                <w:rFonts w:ascii="Verdana" w:hAnsi="Verdana"/>
                <w:sz w:val="17"/>
                <w:szCs w:val="17"/>
                <w:lang w:val="fr-FR"/>
              </w:rPr>
            </w:pPr>
            <w:r w:rsidRPr="003108DD">
              <w:rPr>
                <w:rFonts w:ascii="Verdana" w:hAnsi="Verdana"/>
                <w:i/>
                <w:sz w:val="17"/>
                <w:szCs w:val="17"/>
                <w:lang w:val="fr-FR"/>
              </w:rPr>
              <w:t>Insuffisance hépatique et rénale :</w:t>
            </w:r>
            <w:r>
              <w:rPr>
                <w:rFonts w:ascii="Verdana" w:hAnsi="Verdana"/>
                <w:sz w:val="17"/>
                <w:szCs w:val="17"/>
                <w:lang w:val="fr-FR"/>
              </w:rPr>
              <w:t xml:space="preserve"> Aucune adaptation de la posologie n’est requise pour les patients souffrant d’une fonction hépatique et rénale limitée.</w:t>
            </w:r>
          </w:p>
          <w:p w14:paraId="74E2E65B" w14:textId="77777777" w:rsidR="006202F2" w:rsidRDefault="006202F2" w:rsidP="0079581E">
            <w:pPr>
              <w:spacing w:before="75" w:after="0" w:line="240" w:lineRule="auto"/>
              <w:rPr>
                <w:rFonts w:ascii="Verdana" w:hAnsi="Verdana"/>
                <w:sz w:val="17"/>
                <w:szCs w:val="17"/>
                <w:lang w:val="fr-FR"/>
              </w:rPr>
            </w:pPr>
          </w:p>
          <w:p w14:paraId="3FAC1F81" w14:textId="77777777" w:rsidR="006202F2" w:rsidRDefault="006202F2" w:rsidP="0079581E">
            <w:pPr>
              <w:spacing w:before="75" w:after="0" w:line="240" w:lineRule="auto"/>
              <w:rPr>
                <w:rFonts w:ascii="Verdana" w:hAnsi="Verdana"/>
                <w:sz w:val="17"/>
                <w:szCs w:val="17"/>
                <w:lang w:val="fr-FR"/>
              </w:rPr>
            </w:pPr>
            <w:r>
              <w:rPr>
                <w:rFonts w:ascii="Verdana" w:hAnsi="Verdana"/>
                <w:sz w:val="17"/>
                <w:szCs w:val="17"/>
                <w:lang w:val="fr-FR"/>
              </w:rPr>
              <w:t>CONTRE-INDICATIONS</w:t>
            </w:r>
          </w:p>
          <w:p w14:paraId="494167D0" w14:textId="77777777" w:rsidR="006202F2" w:rsidRDefault="006202F2" w:rsidP="0079581E">
            <w:pPr>
              <w:spacing w:before="75" w:after="0" w:line="240" w:lineRule="auto"/>
              <w:rPr>
                <w:rFonts w:ascii="Verdana" w:hAnsi="Verdana"/>
                <w:sz w:val="17"/>
                <w:szCs w:val="17"/>
                <w:lang w:val="fr-FR"/>
              </w:rPr>
            </w:pPr>
            <w:r>
              <w:rPr>
                <w:rFonts w:ascii="Verdana" w:hAnsi="Verdana"/>
                <w:sz w:val="17"/>
                <w:szCs w:val="17"/>
                <w:lang w:val="fr-FR"/>
              </w:rPr>
              <w:t>Hypersensibilité à la LH-RH, à la triptoréline, à d’autres analogues GnRH, ou à l’un des excipients selon la composition.</w:t>
            </w:r>
          </w:p>
          <w:p w14:paraId="6D386922" w14:textId="77777777" w:rsidR="006202F2" w:rsidRDefault="006202F2" w:rsidP="0079581E">
            <w:pPr>
              <w:spacing w:before="75" w:after="0" w:line="240" w:lineRule="auto"/>
              <w:rPr>
                <w:rFonts w:ascii="Verdana" w:hAnsi="Verdana"/>
                <w:sz w:val="17"/>
                <w:szCs w:val="17"/>
                <w:lang w:val="fr-FR"/>
              </w:rPr>
            </w:pPr>
          </w:p>
          <w:p w14:paraId="28261DA3" w14:textId="77777777" w:rsidR="006202F2" w:rsidRDefault="006202F2" w:rsidP="0079581E">
            <w:pPr>
              <w:spacing w:before="75" w:after="0" w:line="240" w:lineRule="auto"/>
              <w:rPr>
                <w:rFonts w:ascii="Verdana" w:hAnsi="Verdana"/>
                <w:sz w:val="17"/>
                <w:szCs w:val="17"/>
                <w:lang w:val="fr-FR"/>
              </w:rPr>
            </w:pPr>
            <w:r w:rsidRPr="00ED1A14">
              <w:rPr>
                <w:rFonts w:ascii="Verdana" w:hAnsi="Verdana"/>
                <w:sz w:val="17"/>
                <w:szCs w:val="17"/>
                <w:lang w:val="fr-FR"/>
              </w:rPr>
              <w:t>Pamorelin LA</w:t>
            </w:r>
            <w:r w:rsidRPr="00ED1A14">
              <w:rPr>
                <w:rFonts w:ascii="Verdana" w:hAnsi="Verdana"/>
                <w:b/>
                <w:sz w:val="17"/>
                <w:szCs w:val="17"/>
                <w:lang w:val="fr-FR"/>
              </w:rPr>
              <w:t>®</w:t>
            </w:r>
            <w:r w:rsidRPr="00ED1A14">
              <w:rPr>
                <w:rFonts w:ascii="Verdana" w:hAnsi="Verdana"/>
                <w:sz w:val="17"/>
                <w:szCs w:val="17"/>
                <w:lang w:val="fr-FR"/>
              </w:rPr>
              <w:t>11</w:t>
            </w:r>
            <w:r>
              <w:rPr>
                <w:rFonts w:ascii="Verdana" w:hAnsi="Verdana"/>
                <w:sz w:val="17"/>
                <w:szCs w:val="17"/>
                <w:lang w:val="fr-FR"/>
              </w:rPr>
              <w:t>.</w:t>
            </w:r>
            <w:r w:rsidRPr="00ED1A14">
              <w:rPr>
                <w:rFonts w:ascii="Verdana" w:hAnsi="Verdana"/>
                <w:sz w:val="17"/>
                <w:szCs w:val="17"/>
                <w:lang w:val="fr-FR"/>
              </w:rPr>
              <w:t>25 mg</w:t>
            </w:r>
            <w:r>
              <w:rPr>
                <w:rFonts w:ascii="Verdana" w:hAnsi="Verdana"/>
                <w:sz w:val="17"/>
                <w:szCs w:val="17"/>
                <w:lang w:val="fr-FR"/>
              </w:rPr>
              <w:t xml:space="preserve"> ne doit pas être administré s’il y a des indices en faveur du fait que la tumeur n’est pas hormonodépendante ou après castration chirurgicale.</w:t>
            </w:r>
          </w:p>
          <w:p w14:paraId="594BB96D" w14:textId="77777777" w:rsidR="006202F2" w:rsidRDefault="006202F2" w:rsidP="0079581E">
            <w:pPr>
              <w:spacing w:before="75" w:after="0" w:line="240" w:lineRule="auto"/>
              <w:rPr>
                <w:rFonts w:ascii="Verdana" w:hAnsi="Verdana"/>
                <w:sz w:val="17"/>
                <w:szCs w:val="17"/>
                <w:lang w:val="fr-FR"/>
              </w:rPr>
            </w:pPr>
            <w:r w:rsidRPr="00ED1A14">
              <w:rPr>
                <w:rFonts w:ascii="Verdana" w:hAnsi="Verdana"/>
                <w:sz w:val="17"/>
                <w:szCs w:val="17"/>
                <w:lang w:val="fr-FR"/>
              </w:rPr>
              <w:t>Pamorelin LA</w:t>
            </w:r>
            <w:r w:rsidRPr="00ED1A14">
              <w:rPr>
                <w:rFonts w:ascii="Verdana" w:hAnsi="Verdana"/>
                <w:b/>
                <w:sz w:val="17"/>
                <w:szCs w:val="17"/>
                <w:lang w:val="fr-FR"/>
              </w:rPr>
              <w:t>®</w:t>
            </w:r>
            <w:r w:rsidRPr="00ED1A14">
              <w:rPr>
                <w:rFonts w:ascii="Verdana" w:hAnsi="Verdana"/>
                <w:sz w:val="17"/>
                <w:szCs w:val="17"/>
                <w:lang w:val="fr-FR"/>
              </w:rPr>
              <w:t>11</w:t>
            </w:r>
            <w:r>
              <w:rPr>
                <w:rFonts w:ascii="Verdana" w:hAnsi="Verdana"/>
                <w:sz w:val="17"/>
                <w:szCs w:val="17"/>
                <w:lang w:val="fr-FR"/>
              </w:rPr>
              <w:t>.</w:t>
            </w:r>
            <w:r w:rsidRPr="00ED1A14">
              <w:rPr>
                <w:rFonts w:ascii="Verdana" w:hAnsi="Verdana"/>
                <w:sz w:val="17"/>
                <w:szCs w:val="17"/>
                <w:lang w:val="fr-FR"/>
              </w:rPr>
              <w:t>25 mg</w:t>
            </w:r>
            <w:r>
              <w:rPr>
                <w:rFonts w:ascii="Verdana" w:hAnsi="Verdana"/>
                <w:sz w:val="17"/>
                <w:szCs w:val="17"/>
                <w:lang w:val="fr-FR"/>
              </w:rPr>
              <w:t xml:space="preserve"> est contre-indiqué chez les patients ayant une compression médullaire sur métastases de leur carcinome prostatique.</w:t>
            </w:r>
          </w:p>
          <w:p w14:paraId="491561D0" w14:textId="77777777" w:rsidR="006202F2" w:rsidRPr="00ED1A14" w:rsidRDefault="006202F2" w:rsidP="0079581E">
            <w:pPr>
              <w:spacing w:before="75" w:after="0" w:line="240" w:lineRule="auto"/>
              <w:rPr>
                <w:rFonts w:ascii="Verdana" w:hAnsi="Verdana"/>
                <w:sz w:val="17"/>
                <w:szCs w:val="17"/>
                <w:lang w:val="fr-FR"/>
              </w:rPr>
            </w:pPr>
            <w:r>
              <w:rPr>
                <w:rFonts w:ascii="Verdana" w:hAnsi="Verdana"/>
                <w:sz w:val="17"/>
                <w:szCs w:val="17"/>
                <w:lang w:val="fr-FR"/>
              </w:rPr>
              <w:t xml:space="preserve"> </w:t>
            </w:r>
          </w:p>
        </w:tc>
        <w:tc>
          <w:tcPr>
            <w:tcW w:w="2579" w:type="pct"/>
            <w:shd w:val="clear" w:color="auto" w:fill="F8F7F1"/>
            <w:hideMark/>
          </w:tcPr>
          <w:p w14:paraId="545652E3" w14:textId="77777777" w:rsidR="006202F2" w:rsidRPr="00DA51D2" w:rsidRDefault="006202F2" w:rsidP="0079581E">
            <w:pPr>
              <w:rPr>
                <w:rFonts w:ascii="Verdana" w:hAnsi="Verdana"/>
                <w:b/>
                <w:sz w:val="17"/>
                <w:szCs w:val="17"/>
              </w:rPr>
            </w:pPr>
            <w:r w:rsidRPr="00DA51D2">
              <w:rPr>
                <w:rFonts w:ascii="Verdana" w:eastAsia="Times New Roman" w:hAnsi="Verdana" w:cs="Times New Roman"/>
                <w:b/>
                <w:bCs/>
                <w:color w:val="1F1E1D"/>
                <w:sz w:val="17"/>
                <w:szCs w:val="17"/>
              </w:rPr>
              <w:lastRenderedPageBreak/>
              <w:t>Translation - Spanish</w:t>
            </w:r>
            <w:r w:rsidRPr="00DA51D2">
              <w:rPr>
                <w:rFonts w:ascii="Verdana" w:eastAsia="Times New Roman" w:hAnsi="Verdana" w:cs="Times New Roman"/>
                <w:color w:val="1F1E1D"/>
                <w:sz w:val="17"/>
                <w:szCs w:val="17"/>
              </w:rPr>
              <w:br/>
            </w:r>
            <w:r w:rsidRPr="00DA51D2">
              <w:rPr>
                <w:rFonts w:ascii="Verdana" w:hAnsi="Verdana"/>
                <w:sz w:val="17"/>
                <w:szCs w:val="17"/>
              </w:rPr>
              <w:t>POSOLOGÍA/MODO DE USO</w:t>
            </w:r>
            <w:r>
              <w:rPr>
                <w:rFonts w:ascii="Verdana" w:hAnsi="Verdana"/>
                <w:sz w:val="17"/>
                <w:szCs w:val="17"/>
              </w:rPr>
              <w:br/>
            </w:r>
            <w:r>
              <w:rPr>
                <w:rFonts w:ascii="Verdana" w:hAnsi="Verdana"/>
                <w:sz w:val="17"/>
                <w:szCs w:val="17"/>
              </w:rPr>
              <w:br/>
            </w:r>
            <w:r w:rsidRPr="00DA51D2">
              <w:rPr>
                <w:rFonts w:ascii="Verdana" w:hAnsi="Verdana"/>
                <w:sz w:val="17"/>
                <w:szCs w:val="17"/>
              </w:rPr>
              <w:t>La posología usual es de una inyección intramuscular de Pamorelin LA</w:t>
            </w:r>
            <w:r w:rsidRPr="00DA51D2">
              <w:rPr>
                <w:rFonts w:ascii="Verdana" w:hAnsi="Verdana"/>
                <w:b/>
                <w:sz w:val="17"/>
                <w:szCs w:val="17"/>
              </w:rPr>
              <w:t>®</w:t>
            </w:r>
            <w:r w:rsidRPr="00DA51D2">
              <w:rPr>
                <w:rFonts w:ascii="Verdana" w:hAnsi="Verdana"/>
                <w:sz w:val="17"/>
                <w:szCs w:val="17"/>
              </w:rPr>
              <w:t>11,25 mg cada 12 semanas, bajo control médico. Dado que Pamorelin LA</w:t>
            </w:r>
            <w:r w:rsidRPr="00DA51D2">
              <w:rPr>
                <w:rFonts w:ascii="Verdana" w:hAnsi="Verdana"/>
                <w:b/>
                <w:sz w:val="17"/>
                <w:szCs w:val="17"/>
              </w:rPr>
              <w:t>®</w:t>
            </w:r>
            <w:r w:rsidRPr="00DA51D2">
              <w:rPr>
                <w:rFonts w:ascii="Verdana" w:hAnsi="Verdana"/>
                <w:sz w:val="17"/>
                <w:szCs w:val="17"/>
              </w:rPr>
              <w:t>11,25 mg es una suspensión de un microgranulado, cualquier inyección intravascular debe ser absolutamente evitada.</w:t>
            </w:r>
          </w:p>
          <w:p w14:paraId="0EB69EA4" w14:textId="77777777" w:rsidR="006202F2" w:rsidRPr="00DA51D2" w:rsidRDefault="006202F2" w:rsidP="0079581E">
            <w:pPr>
              <w:rPr>
                <w:rFonts w:ascii="Verdana" w:hAnsi="Verdana"/>
                <w:sz w:val="17"/>
                <w:szCs w:val="17"/>
              </w:rPr>
            </w:pPr>
            <w:r w:rsidRPr="00DA51D2">
              <w:rPr>
                <w:rFonts w:ascii="Verdana" w:hAnsi="Verdana"/>
                <w:sz w:val="17"/>
                <w:szCs w:val="17"/>
              </w:rPr>
              <w:t>La preparación Pamorelin LA</w:t>
            </w:r>
            <w:r w:rsidRPr="00DA51D2">
              <w:rPr>
                <w:rFonts w:ascii="Verdana" w:hAnsi="Verdana"/>
                <w:b/>
                <w:sz w:val="17"/>
                <w:szCs w:val="17"/>
              </w:rPr>
              <w:t>®</w:t>
            </w:r>
            <w:r w:rsidRPr="00DA51D2">
              <w:rPr>
                <w:rFonts w:ascii="Verdana" w:hAnsi="Verdana"/>
                <w:sz w:val="17"/>
                <w:szCs w:val="17"/>
              </w:rPr>
              <w:t>11,25 mg no debe ser utilizada sino por los médicos o personal médico.</w:t>
            </w:r>
          </w:p>
          <w:p w14:paraId="0EF0BAB2" w14:textId="77777777" w:rsidR="006202F2" w:rsidRPr="00DA51D2" w:rsidRDefault="006202F2" w:rsidP="0079581E">
            <w:pPr>
              <w:rPr>
                <w:rFonts w:ascii="Verdana" w:hAnsi="Verdana"/>
                <w:sz w:val="17"/>
                <w:szCs w:val="17"/>
              </w:rPr>
            </w:pPr>
            <w:r w:rsidRPr="00DA51D2">
              <w:rPr>
                <w:rFonts w:ascii="Verdana" w:hAnsi="Verdana"/>
                <w:sz w:val="17"/>
                <w:szCs w:val="17"/>
              </w:rPr>
              <w:t xml:space="preserve">El punto de inyección debe alternarse periódicamente. </w:t>
            </w:r>
          </w:p>
          <w:p w14:paraId="4436EC38" w14:textId="77777777" w:rsidR="006202F2" w:rsidRPr="003108DD" w:rsidRDefault="006202F2" w:rsidP="0079581E">
            <w:pPr>
              <w:rPr>
                <w:rFonts w:ascii="Verdana" w:hAnsi="Verdana"/>
                <w:sz w:val="17"/>
                <w:szCs w:val="17"/>
              </w:rPr>
            </w:pPr>
            <w:r w:rsidRPr="003108DD">
              <w:rPr>
                <w:rFonts w:ascii="Verdana" w:hAnsi="Verdana"/>
                <w:sz w:val="17"/>
                <w:szCs w:val="17"/>
              </w:rPr>
              <w:t>CONTROL DEL TRATAMIENTO</w:t>
            </w:r>
          </w:p>
          <w:p w14:paraId="0A110AF8" w14:textId="77777777" w:rsidR="006202F2" w:rsidRDefault="006202F2" w:rsidP="0079581E">
            <w:pPr>
              <w:rPr>
                <w:rFonts w:ascii="Verdana" w:hAnsi="Verdana"/>
                <w:i/>
                <w:sz w:val="17"/>
                <w:szCs w:val="17"/>
              </w:rPr>
            </w:pPr>
            <w:r w:rsidRPr="00DA51D2">
              <w:rPr>
                <w:rFonts w:ascii="Verdana" w:hAnsi="Verdana"/>
                <w:i/>
                <w:sz w:val="17"/>
                <w:szCs w:val="17"/>
              </w:rPr>
              <w:t>Cáncer de próstata</w:t>
            </w:r>
          </w:p>
          <w:p w14:paraId="4ADE91C7" w14:textId="77777777" w:rsidR="006202F2" w:rsidRPr="003108DD" w:rsidRDefault="006202F2" w:rsidP="0079581E">
            <w:pPr>
              <w:rPr>
                <w:rFonts w:ascii="Verdana" w:hAnsi="Verdana"/>
                <w:i/>
                <w:sz w:val="17"/>
                <w:szCs w:val="17"/>
              </w:rPr>
            </w:pPr>
            <w:r w:rsidRPr="00DA51D2">
              <w:rPr>
                <w:rFonts w:ascii="Verdana" w:hAnsi="Verdana"/>
                <w:sz w:val="17"/>
                <w:szCs w:val="17"/>
              </w:rPr>
              <w:t>La eficacia del tratamiento puede controlarse por la dosificación de los niveles séricos de testosterona y del antígeno específico de la próstata</w:t>
            </w:r>
            <w:r>
              <w:rPr>
                <w:rFonts w:ascii="Verdana" w:hAnsi="Verdana"/>
                <w:sz w:val="17"/>
                <w:szCs w:val="17"/>
              </w:rPr>
              <w:t xml:space="preserve"> </w:t>
            </w:r>
            <w:r w:rsidRPr="00DA51D2">
              <w:rPr>
                <w:rFonts w:ascii="Verdana" w:hAnsi="Verdana"/>
                <w:sz w:val="17"/>
                <w:szCs w:val="17"/>
              </w:rPr>
              <w:t xml:space="preserve">(PSA), y por apreciaciones subjetivas (mejora de los síntomas como problemas en la micción, dolores cancerosos, etc.). La </w:t>
            </w:r>
            <w:r w:rsidRPr="00DA51D2">
              <w:rPr>
                <w:rFonts w:ascii="Verdana" w:hAnsi="Verdana"/>
                <w:sz w:val="17"/>
                <w:szCs w:val="17"/>
              </w:rPr>
              <w:lastRenderedPageBreak/>
              <w:t xml:space="preserve">testosterona puede dosificarse inmediatamente antes o después de la inyección. </w:t>
            </w:r>
          </w:p>
          <w:p w14:paraId="578B5649" w14:textId="77777777" w:rsidR="006202F2" w:rsidRPr="00DA51D2" w:rsidRDefault="006202F2" w:rsidP="0079581E">
            <w:pPr>
              <w:rPr>
                <w:rFonts w:ascii="Verdana" w:hAnsi="Verdana"/>
                <w:i/>
                <w:sz w:val="17"/>
                <w:szCs w:val="17"/>
              </w:rPr>
            </w:pPr>
            <w:r w:rsidRPr="00DA51D2">
              <w:rPr>
                <w:rFonts w:ascii="Verdana" w:hAnsi="Verdana"/>
                <w:i/>
                <w:sz w:val="17"/>
                <w:szCs w:val="17"/>
              </w:rPr>
              <w:t xml:space="preserve">Recomendaciones posológicas particulares </w:t>
            </w:r>
          </w:p>
          <w:p w14:paraId="177A03F1" w14:textId="77777777" w:rsidR="006202F2" w:rsidRPr="00DA51D2" w:rsidRDefault="006202F2" w:rsidP="0079581E">
            <w:pPr>
              <w:rPr>
                <w:rFonts w:ascii="Verdana" w:hAnsi="Verdana"/>
                <w:sz w:val="17"/>
                <w:szCs w:val="17"/>
              </w:rPr>
            </w:pPr>
            <w:r w:rsidRPr="00DA51D2">
              <w:rPr>
                <w:rFonts w:ascii="Verdana" w:hAnsi="Verdana"/>
                <w:i/>
                <w:sz w:val="17"/>
                <w:szCs w:val="17"/>
              </w:rPr>
              <w:t xml:space="preserve">Niños/adolescentes: </w:t>
            </w:r>
            <w:r w:rsidRPr="00DA51D2">
              <w:rPr>
                <w:rFonts w:ascii="Verdana" w:hAnsi="Verdana"/>
                <w:sz w:val="17"/>
                <w:szCs w:val="17"/>
              </w:rPr>
              <w:t>la seguridad y la eficacia de Pamorelin</w:t>
            </w:r>
            <w:r w:rsidRPr="00DA51D2">
              <w:rPr>
                <w:rFonts w:ascii="Verdana" w:hAnsi="Verdana"/>
                <w:b/>
                <w:sz w:val="17"/>
                <w:szCs w:val="17"/>
              </w:rPr>
              <w:t xml:space="preserve"> </w:t>
            </w:r>
            <w:r w:rsidRPr="00DA51D2">
              <w:rPr>
                <w:rFonts w:ascii="Verdana" w:hAnsi="Verdana"/>
                <w:sz w:val="17"/>
                <w:szCs w:val="17"/>
              </w:rPr>
              <w:t xml:space="preserve">LA 11.25 mg no fueron examinadas en niños y adolescentes. Consecuentemente, no existe ninguna indicación para este grupo etario. </w:t>
            </w:r>
          </w:p>
          <w:p w14:paraId="3EF5EAB9" w14:textId="77777777" w:rsidR="006202F2" w:rsidRPr="00DA51D2" w:rsidRDefault="006202F2" w:rsidP="0079581E">
            <w:pPr>
              <w:rPr>
                <w:rFonts w:ascii="Verdana" w:hAnsi="Verdana"/>
                <w:sz w:val="17"/>
                <w:szCs w:val="17"/>
              </w:rPr>
            </w:pPr>
            <w:r w:rsidRPr="00DA51D2">
              <w:rPr>
                <w:rFonts w:ascii="Verdana" w:hAnsi="Verdana"/>
                <w:i/>
                <w:sz w:val="17"/>
                <w:szCs w:val="17"/>
              </w:rPr>
              <w:t xml:space="preserve">Pacientes ancianos: </w:t>
            </w:r>
            <w:r w:rsidRPr="00DA51D2">
              <w:rPr>
                <w:rFonts w:ascii="Verdana" w:hAnsi="Verdana"/>
                <w:sz w:val="17"/>
                <w:szCs w:val="17"/>
              </w:rPr>
              <w:t>no se requiere adaptación de la dosis en función de la edad.</w:t>
            </w:r>
          </w:p>
          <w:p w14:paraId="7B3AA18E" w14:textId="77777777" w:rsidR="006202F2" w:rsidRPr="00DA51D2" w:rsidRDefault="006202F2" w:rsidP="0079581E">
            <w:pPr>
              <w:rPr>
                <w:rFonts w:ascii="Verdana" w:hAnsi="Verdana"/>
                <w:sz w:val="17"/>
                <w:szCs w:val="17"/>
              </w:rPr>
            </w:pPr>
            <w:r w:rsidRPr="00DA51D2">
              <w:rPr>
                <w:rFonts w:ascii="Verdana" w:hAnsi="Verdana"/>
                <w:sz w:val="17"/>
                <w:szCs w:val="17"/>
              </w:rPr>
              <w:t xml:space="preserve">No existe ninguna indicación del presente medicamento para las mujeres menopáusicas. </w:t>
            </w:r>
          </w:p>
          <w:p w14:paraId="1354C970" w14:textId="77777777" w:rsidR="006202F2" w:rsidRPr="00DA51D2" w:rsidRDefault="006202F2" w:rsidP="0079581E">
            <w:pPr>
              <w:rPr>
                <w:rFonts w:ascii="Verdana" w:hAnsi="Verdana"/>
                <w:sz w:val="17"/>
                <w:szCs w:val="17"/>
              </w:rPr>
            </w:pPr>
            <w:r w:rsidRPr="00DA51D2">
              <w:rPr>
                <w:rFonts w:ascii="Verdana" w:hAnsi="Verdana"/>
                <w:i/>
                <w:sz w:val="17"/>
                <w:szCs w:val="17"/>
              </w:rPr>
              <w:t xml:space="preserve">Insuficiencia hepática y renal: </w:t>
            </w:r>
            <w:r w:rsidRPr="00DA51D2">
              <w:rPr>
                <w:rFonts w:ascii="Verdana" w:hAnsi="Verdana"/>
                <w:sz w:val="17"/>
                <w:szCs w:val="17"/>
              </w:rPr>
              <w:t>no se requiere ninguna adaptación de la posología para los pacientes que padecen de una función hepática y renal limitada.</w:t>
            </w:r>
          </w:p>
          <w:p w14:paraId="36C0831D" w14:textId="77777777" w:rsidR="006202F2" w:rsidRPr="003108DD" w:rsidRDefault="006202F2" w:rsidP="0079581E">
            <w:pPr>
              <w:rPr>
                <w:rFonts w:ascii="Verdana" w:hAnsi="Verdana"/>
                <w:sz w:val="17"/>
                <w:szCs w:val="17"/>
              </w:rPr>
            </w:pPr>
            <w:r w:rsidRPr="003108DD">
              <w:rPr>
                <w:rFonts w:ascii="Verdana" w:hAnsi="Verdana"/>
                <w:sz w:val="17"/>
                <w:szCs w:val="17"/>
              </w:rPr>
              <w:t xml:space="preserve">CONTRAINDICACIONES </w:t>
            </w:r>
          </w:p>
          <w:p w14:paraId="1272B692" w14:textId="77777777" w:rsidR="006202F2" w:rsidRPr="00DA51D2" w:rsidRDefault="006202F2" w:rsidP="0079581E">
            <w:pPr>
              <w:rPr>
                <w:rFonts w:ascii="Verdana" w:hAnsi="Verdana"/>
                <w:sz w:val="17"/>
                <w:szCs w:val="17"/>
              </w:rPr>
            </w:pPr>
            <w:r w:rsidRPr="00DA51D2">
              <w:rPr>
                <w:rFonts w:ascii="Verdana" w:hAnsi="Verdana"/>
                <w:sz w:val="17"/>
                <w:szCs w:val="17"/>
              </w:rPr>
              <w:t xml:space="preserve">Hipersensibilidad a la LH-RH, a la triptorelina, a otros análogos al GnRH, o a alguno de los excipientes según la composición. </w:t>
            </w:r>
          </w:p>
          <w:p w14:paraId="55D2BA02" w14:textId="77777777" w:rsidR="006202F2" w:rsidRPr="00DA51D2" w:rsidRDefault="006202F2" w:rsidP="0079581E">
            <w:pPr>
              <w:rPr>
                <w:rFonts w:ascii="Verdana" w:hAnsi="Verdana"/>
                <w:sz w:val="17"/>
                <w:szCs w:val="17"/>
              </w:rPr>
            </w:pPr>
            <w:r w:rsidRPr="00DA51D2">
              <w:rPr>
                <w:rFonts w:ascii="Verdana" w:hAnsi="Verdana"/>
                <w:sz w:val="17"/>
                <w:szCs w:val="17"/>
              </w:rPr>
              <w:t>Pamorelin</w:t>
            </w:r>
            <w:r w:rsidRPr="00DA51D2">
              <w:rPr>
                <w:rFonts w:ascii="Verdana" w:hAnsi="Verdana"/>
                <w:b/>
                <w:sz w:val="17"/>
                <w:szCs w:val="17"/>
              </w:rPr>
              <w:t xml:space="preserve">® </w:t>
            </w:r>
            <w:r w:rsidRPr="00DA51D2">
              <w:rPr>
                <w:rFonts w:ascii="Verdana" w:hAnsi="Verdana"/>
                <w:sz w:val="17"/>
                <w:szCs w:val="17"/>
              </w:rPr>
              <w:t xml:space="preserve">LA 11,25 mg no debe administrarse si existen indicios de que el tumor no es hormono-dependiente, o tras castración quirúrgica. </w:t>
            </w:r>
            <w:r w:rsidRPr="00DA51D2">
              <w:rPr>
                <w:rFonts w:ascii="Verdana" w:hAnsi="Verdana"/>
                <w:sz w:val="17"/>
                <w:szCs w:val="17"/>
              </w:rPr>
              <w:br/>
              <w:t>Pamorelin</w:t>
            </w:r>
            <w:r w:rsidRPr="00DA51D2">
              <w:rPr>
                <w:rFonts w:ascii="Verdana" w:hAnsi="Verdana"/>
                <w:b/>
                <w:sz w:val="17"/>
                <w:szCs w:val="17"/>
              </w:rPr>
              <w:t xml:space="preserve">® </w:t>
            </w:r>
            <w:r w:rsidRPr="00DA51D2">
              <w:rPr>
                <w:rFonts w:ascii="Verdana" w:hAnsi="Verdana"/>
                <w:sz w:val="17"/>
                <w:szCs w:val="17"/>
              </w:rPr>
              <w:t>LA 11,25 mg está contraindicado en pacientes con una compresión medular por metástasis del carcinoma prostático.</w:t>
            </w:r>
          </w:p>
          <w:p w14:paraId="1036B6B2" w14:textId="77777777" w:rsidR="006202F2" w:rsidRPr="006F0E07" w:rsidRDefault="006202F2" w:rsidP="0079581E">
            <w:pPr>
              <w:spacing w:before="75" w:after="0" w:line="240" w:lineRule="auto"/>
              <w:rPr>
                <w:rFonts w:ascii="Verdana" w:eastAsia="Times New Roman" w:hAnsi="Verdana" w:cs="Times New Roman"/>
                <w:color w:val="1F1E1D"/>
                <w:sz w:val="17"/>
                <w:szCs w:val="17"/>
              </w:rPr>
            </w:pPr>
          </w:p>
        </w:tc>
      </w:tr>
    </w:tbl>
    <w:p w14:paraId="06EAD567" w14:textId="660C9E01" w:rsidR="006202F2" w:rsidRDefault="006202F2"/>
    <w:p w14:paraId="3318DF80" w14:textId="564AC64B" w:rsidR="00256ABB" w:rsidRPr="00FF6188" w:rsidRDefault="00256ABB" w:rsidP="00256ABB">
      <w:pPr>
        <w:jc w:val="both"/>
        <w:rPr>
          <w:rFonts w:ascii="Book Antiqua" w:hAnsi="Book Antiqua"/>
          <w:b/>
          <w:bCs/>
          <w:i/>
          <w:sz w:val="32"/>
          <w:szCs w:val="32"/>
          <w:lang w:val="fr-FR"/>
        </w:rPr>
      </w:pPr>
      <w:bookmarkStart w:id="0" w:name="_Hlk105327766"/>
      <w:r w:rsidRPr="003D53E3">
        <w:rPr>
          <w:rFonts w:ascii="Book Antiqua" w:hAnsi="Book Antiqua"/>
          <w:b/>
          <w:bCs/>
          <w:i/>
          <w:sz w:val="32"/>
          <w:szCs w:val="32"/>
        </w:rPr>
        <w:t>Contrato</w:t>
      </w:r>
      <w:r>
        <w:rPr>
          <w:rFonts w:ascii="Book Antiqua" w:hAnsi="Book Antiqua"/>
          <w:b/>
          <w:bCs/>
          <w:i/>
          <w:sz w:val="32"/>
          <w:szCs w:val="32"/>
          <w:lang w:val="fr-FR"/>
        </w:rPr>
        <w:t xml:space="preserve"> de </w:t>
      </w:r>
      <w:r w:rsidRPr="003D53E3">
        <w:rPr>
          <w:rFonts w:ascii="Book Antiqua" w:hAnsi="Book Antiqua"/>
          <w:b/>
          <w:bCs/>
          <w:i/>
          <w:sz w:val="32"/>
          <w:szCs w:val="32"/>
        </w:rPr>
        <w:t>distribución</w:t>
      </w:r>
      <w:r>
        <w:rPr>
          <w:rFonts w:ascii="Book Antiqua" w:hAnsi="Book Antiqua"/>
          <w:b/>
          <w:bCs/>
          <w:i/>
          <w:sz w:val="32"/>
          <w:szCs w:val="32"/>
          <w:lang w:val="fr-FR"/>
        </w:rPr>
        <w:t xml:space="preserve"> </w:t>
      </w:r>
      <w:r w:rsidRPr="00FF6188">
        <w:rPr>
          <w:rFonts w:ascii="Book Antiqua" w:hAnsi="Book Antiqua"/>
          <w:b/>
          <w:bCs/>
          <w:i/>
          <w:sz w:val="32"/>
          <w:szCs w:val="32"/>
          <w:lang w:val="fr-FR"/>
        </w:rPr>
        <w:t xml:space="preserve">– </w:t>
      </w:r>
      <w:r>
        <w:rPr>
          <w:rFonts w:ascii="Book Antiqua" w:hAnsi="Book Antiqua"/>
          <w:b/>
          <w:bCs/>
          <w:i/>
          <w:sz w:val="32"/>
          <w:szCs w:val="32"/>
          <w:lang w:val="fr-FR"/>
        </w:rPr>
        <w:t>Contrat de distribution</w:t>
      </w:r>
    </w:p>
    <w:tbl>
      <w:tblPr>
        <w:tblW w:w="5162" w:type="pct"/>
        <w:tblCellSpacing w:w="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F7F1"/>
        <w:tblCellMar>
          <w:top w:w="45" w:type="dxa"/>
          <w:left w:w="45" w:type="dxa"/>
          <w:bottom w:w="45" w:type="dxa"/>
          <w:right w:w="45" w:type="dxa"/>
        </w:tblCellMar>
        <w:tblLook w:val="04A0" w:firstRow="1" w:lastRow="0" w:firstColumn="1" w:lastColumn="0" w:noHBand="0" w:noVBand="1"/>
      </w:tblPr>
      <w:tblGrid>
        <w:gridCol w:w="4464"/>
        <w:gridCol w:w="4892"/>
      </w:tblGrid>
      <w:tr w:rsidR="0075035B" w:rsidRPr="006F0E07" w14:paraId="0D55E75B" w14:textId="77777777" w:rsidTr="0075035B">
        <w:trPr>
          <w:tblCellSpacing w:w="7" w:type="dxa"/>
        </w:trPr>
        <w:tc>
          <w:tcPr>
            <w:tcW w:w="2374" w:type="pct"/>
            <w:shd w:val="clear" w:color="auto" w:fill="F8F7F1"/>
            <w:hideMark/>
          </w:tcPr>
          <w:p w14:paraId="73AB8016" w14:textId="77777777" w:rsidR="00256ABB" w:rsidRPr="0055417C" w:rsidRDefault="00256AB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b/>
                <w:bCs/>
                <w:color w:val="1F1E1D"/>
                <w:sz w:val="17"/>
                <w:szCs w:val="17"/>
              </w:rPr>
              <w:t>Source text - Spanish</w:t>
            </w:r>
            <w:r w:rsidRPr="0055417C">
              <w:rPr>
                <w:rFonts w:ascii="Verdana" w:eastAsia="Times New Roman" w:hAnsi="Verdana" w:cs="Times New Roman"/>
                <w:color w:val="1F1E1D"/>
                <w:sz w:val="17"/>
                <w:szCs w:val="17"/>
              </w:rPr>
              <w:br/>
              <w:t>CLAUSULA TERCERA:</w:t>
            </w:r>
          </w:p>
          <w:p w14:paraId="155DB7D1" w14:textId="77777777" w:rsidR="00256ABB" w:rsidRPr="0055417C" w:rsidRDefault="00256AB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t>Aprovisionamiento</w:t>
            </w:r>
          </w:p>
          <w:p w14:paraId="47618F16" w14:textId="77777777" w:rsidR="00256ABB" w:rsidRPr="0055417C" w:rsidRDefault="00256AB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t>3.1.</w:t>
            </w:r>
          </w:p>
          <w:p w14:paraId="04BB27BF" w14:textId="77777777" w:rsidR="00256ABB" w:rsidRPr="0055417C" w:rsidRDefault="00256AB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t>Orden de Compra.</w:t>
            </w:r>
          </w:p>
          <w:p w14:paraId="1AF07B51" w14:textId="2C13E5ED" w:rsidR="00256ABB" w:rsidRPr="0055417C" w:rsidRDefault="00256AB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t xml:space="preserve">El Distribuidor solicitará Productos mediante órdenes de compra enviadas a </w:t>
            </w:r>
            <w:r w:rsidR="00EA5844" w:rsidRPr="0055417C">
              <w:rPr>
                <w:rFonts w:ascii="Verdana" w:eastAsia="Times New Roman" w:hAnsi="Verdana" w:cs="Times New Roman"/>
                <w:color w:val="1F1E1D"/>
                <w:sz w:val="17"/>
                <w:szCs w:val="17"/>
              </w:rPr>
              <w:t>XXX</w:t>
            </w:r>
            <w:r w:rsidRPr="0055417C">
              <w:rPr>
                <w:rFonts w:ascii="Verdana" w:eastAsia="Times New Roman" w:hAnsi="Verdana" w:cs="Times New Roman"/>
                <w:color w:val="1F1E1D"/>
                <w:sz w:val="17"/>
                <w:szCs w:val="17"/>
              </w:rPr>
              <w:t xml:space="preserve">, que serán irrevocables una vez aceptadas por </w:t>
            </w:r>
            <w:r w:rsidR="00EA5844" w:rsidRPr="0055417C">
              <w:rPr>
                <w:rFonts w:ascii="Verdana" w:eastAsia="Times New Roman" w:hAnsi="Verdana" w:cs="Times New Roman"/>
                <w:color w:val="1F1E1D"/>
                <w:sz w:val="17"/>
                <w:szCs w:val="17"/>
              </w:rPr>
              <w:t xml:space="preserve">XXX </w:t>
            </w:r>
            <w:r w:rsidRPr="0055417C">
              <w:rPr>
                <w:rFonts w:ascii="Verdana" w:eastAsia="Times New Roman" w:hAnsi="Verdana" w:cs="Times New Roman"/>
                <w:color w:val="1F1E1D"/>
                <w:sz w:val="17"/>
                <w:szCs w:val="17"/>
              </w:rPr>
              <w:t>y no podrán ser canceladas por el Distribuidor ni total ni parcialmente.</w:t>
            </w:r>
          </w:p>
          <w:p w14:paraId="16B79D5B" w14:textId="4D3B21A6" w:rsidR="00256ABB" w:rsidRPr="0055417C" w:rsidRDefault="00256AB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t xml:space="preserve">En cada ocasión en la que se remita un pedido a </w:t>
            </w:r>
            <w:r w:rsidR="00EA5844" w:rsidRPr="0055417C">
              <w:rPr>
                <w:rFonts w:ascii="Verdana" w:eastAsia="Times New Roman" w:hAnsi="Verdana" w:cs="Times New Roman"/>
                <w:color w:val="1F1E1D"/>
                <w:sz w:val="17"/>
                <w:szCs w:val="17"/>
              </w:rPr>
              <w:t>XXX</w:t>
            </w:r>
            <w:r w:rsidRPr="0055417C">
              <w:rPr>
                <w:rFonts w:ascii="Verdana" w:eastAsia="Times New Roman" w:hAnsi="Verdana" w:cs="Times New Roman"/>
                <w:color w:val="1F1E1D"/>
                <w:sz w:val="17"/>
                <w:szCs w:val="17"/>
              </w:rPr>
              <w:t>, se consignará la totalidad de la información pertinente y el Lugar de Entrega.</w:t>
            </w:r>
          </w:p>
          <w:p w14:paraId="1D1C781D" w14:textId="7A833FBD" w:rsidR="00256ABB" w:rsidRPr="0055417C" w:rsidRDefault="00256AB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t xml:space="preserve">Las Partes declaran y aceptan expresamente que </w:t>
            </w:r>
            <w:r w:rsidR="00EA5844" w:rsidRPr="0055417C">
              <w:rPr>
                <w:rFonts w:ascii="Verdana" w:eastAsia="Times New Roman" w:hAnsi="Verdana" w:cs="Times New Roman"/>
                <w:color w:val="1F1E1D"/>
                <w:sz w:val="17"/>
                <w:szCs w:val="17"/>
              </w:rPr>
              <w:t xml:space="preserve">XXX </w:t>
            </w:r>
            <w:r w:rsidRPr="0055417C">
              <w:rPr>
                <w:rFonts w:ascii="Verdana" w:eastAsia="Times New Roman" w:hAnsi="Verdana" w:cs="Times New Roman"/>
                <w:color w:val="1F1E1D"/>
                <w:sz w:val="17"/>
                <w:szCs w:val="17"/>
              </w:rPr>
              <w:t>no estará obligada a aceptar ninguna orden de compra emitida por el Distribuidor y que no estará obligada a dar una causa por dicho rechazo.</w:t>
            </w:r>
          </w:p>
          <w:p w14:paraId="6838B205" w14:textId="34CF1B4E" w:rsidR="00256ABB" w:rsidRPr="0055417C" w:rsidRDefault="00EA5844"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t xml:space="preserve">XXX </w:t>
            </w:r>
            <w:r w:rsidR="00256ABB" w:rsidRPr="0055417C">
              <w:rPr>
                <w:rFonts w:ascii="Verdana" w:eastAsia="Times New Roman" w:hAnsi="Verdana" w:cs="Times New Roman"/>
                <w:color w:val="1F1E1D"/>
                <w:sz w:val="17"/>
                <w:szCs w:val="17"/>
              </w:rPr>
              <w:t>no garantiza continuidad de fabricación o suministro de los Productos.</w:t>
            </w:r>
          </w:p>
          <w:p w14:paraId="62126093" w14:textId="77777777" w:rsidR="00256ABB" w:rsidRPr="0055417C" w:rsidRDefault="00256AB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t>La provisión de Productos estará sujeta a disponibilidad de stock.</w:t>
            </w:r>
          </w:p>
          <w:p w14:paraId="760FE3C8" w14:textId="77777777" w:rsidR="00256ABB" w:rsidRPr="0055417C" w:rsidRDefault="00256AB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lastRenderedPageBreak/>
              <w:t>3.2.</w:t>
            </w:r>
          </w:p>
          <w:p w14:paraId="5AA25D93" w14:textId="77777777" w:rsidR="00256ABB" w:rsidRPr="0055417C" w:rsidRDefault="00256AB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t>Restricciones.</w:t>
            </w:r>
          </w:p>
          <w:p w14:paraId="21ECBC3A" w14:textId="77777777" w:rsidR="00256ABB" w:rsidRPr="0055417C" w:rsidRDefault="00256AB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t>El Distribuidor no deberá:</w:t>
            </w:r>
          </w:p>
          <w:p w14:paraId="11FDBF29" w14:textId="3BA63A90" w:rsidR="00256ABB" w:rsidRPr="0055417C" w:rsidRDefault="00256AB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t xml:space="preserve">(a) obtener los Productos de ninguna fuente que no sea </w:t>
            </w:r>
            <w:r w:rsidR="00EA5844" w:rsidRPr="0055417C">
              <w:rPr>
                <w:rFonts w:ascii="Verdana" w:eastAsia="Times New Roman" w:hAnsi="Verdana" w:cs="Times New Roman"/>
                <w:color w:val="1F1E1D"/>
                <w:sz w:val="17"/>
                <w:szCs w:val="17"/>
              </w:rPr>
              <w:t>XXX</w:t>
            </w:r>
            <w:r w:rsidRPr="0055417C">
              <w:rPr>
                <w:rFonts w:ascii="Verdana" w:eastAsia="Times New Roman" w:hAnsi="Verdana" w:cs="Times New Roman"/>
                <w:color w:val="1F1E1D"/>
                <w:sz w:val="17"/>
                <w:szCs w:val="17"/>
              </w:rPr>
              <w:t xml:space="preserve"> o un tercero autorizado por escrito y previamente por </w:t>
            </w:r>
            <w:r w:rsidR="00EA5844" w:rsidRPr="0055417C">
              <w:rPr>
                <w:rFonts w:ascii="Verdana" w:eastAsia="Times New Roman" w:hAnsi="Verdana" w:cs="Times New Roman"/>
                <w:color w:val="1F1E1D"/>
                <w:sz w:val="17"/>
                <w:szCs w:val="17"/>
              </w:rPr>
              <w:t>XXX</w:t>
            </w:r>
            <w:r w:rsidRPr="0055417C">
              <w:rPr>
                <w:rFonts w:ascii="Verdana" w:eastAsia="Times New Roman" w:hAnsi="Verdana" w:cs="Times New Roman"/>
                <w:color w:val="1F1E1D"/>
                <w:sz w:val="17"/>
                <w:szCs w:val="17"/>
              </w:rPr>
              <w:t>; y (b) buscar clientes, establecer sucursales, mantener depósitos de Productos, o exportar, comercializar o entregar – directa o indirectamente – los Productos fuera de su Territorio.</w:t>
            </w:r>
          </w:p>
          <w:p w14:paraId="4E9B4350" w14:textId="77777777" w:rsidR="00256ABB" w:rsidRPr="0055417C" w:rsidRDefault="00256AB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t>3.3.</w:t>
            </w:r>
          </w:p>
          <w:p w14:paraId="35722F7A" w14:textId="77777777" w:rsidR="00256ABB" w:rsidRPr="0055417C" w:rsidRDefault="00256AB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t>Entrega.</w:t>
            </w:r>
          </w:p>
          <w:p w14:paraId="789425DF" w14:textId="69017589" w:rsidR="00256ABB" w:rsidRPr="0055417C" w:rsidRDefault="00EA5844"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t xml:space="preserve">XXX </w:t>
            </w:r>
            <w:r w:rsidR="00256ABB" w:rsidRPr="0055417C">
              <w:rPr>
                <w:rFonts w:ascii="Verdana" w:eastAsia="Times New Roman" w:hAnsi="Verdana" w:cs="Times New Roman"/>
                <w:color w:val="1F1E1D"/>
                <w:sz w:val="17"/>
                <w:szCs w:val="17"/>
              </w:rPr>
              <w:t>hará esfuerzos razonables por cumplir con las fechas de entrega.</w:t>
            </w:r>
          </w:p>
          <w:p w14:paraId="667DD1F2" w14:textId="74E42C81" w:rsidR="00256ABB" w:rsidRPr="0055417C" w:rsidRDefault="00256AB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t xml:space="preserve">El Distribuidor reconoce que tales fechas son estimativas y no compromisos en firme, no siendo responsable </w:t>
            </w:r>
            <w:r w:rsidR="00EA5844" w:rsidRPr="0055417C">
              <w:rPr>
                <w:rFonts w:ascii="Verdana" w:eastAsia="Times New Roman" w:hAnsi="Verdana" w:cs="Times New Roman"/>
                <w:color w:val="1F1E1D"/>
                <w:sz w:val="17"/>
                <w:szCs w:val="17"/>
              </w:rPr>
              <w:t xml:space="preserve">XXX </w:t>
            </w:r>
            <w:r w:rsidRPr="0055417C">
              <w:rPr>
                <w:rFonts w:ascii="Verdana" w:eastAsia="Times New Roman" w:hAnsi="Verdana" w:cs="Times New Roman"/>
                <w:color w:val="1F1E1D"/>
                <w:sz w:val="17"/>
                <w:szCs w:val="17"/>
              </w:rPr>
              <w:t>por perjuicios generados por demoras.</w:t>
            </w:r>
          </w:p>
          <w:p w14:paraId="03EC2D86" w14:textId="3BE84411" w:rsidR="00256ABB" w:rsidRPr="0055417C" w:rsidRDefault="00256AB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t xml:space="preserve">Los Productos serán suministrados al Distribuidor conforme las formas, embalajes y otras medidas de almacenamiento, manejo, envío, promoción y venta unilateralmente adoptadas por </w:t>
            </w:r>
            <w:r w:rsidR="00EA5844" w:rsidRPr="0055417C">
              <w:rPr>
                <w:rFonts w:ascii="Verdana" w:eastAsia="Times New Roman" w:hAnsi="Verdana" w:cs="Times New Roman"/>
                <w:color w:val="1F1E1D"/>
                <w:sz w:val="17"/>
                <w:szCs w:val="17"/>
              </w:rPr>
              <w:t>XXX</w:t>
            </w:r>
            <w:r w:rsidRPr="0055417C">
              <w:rPr>
                <w:rFonts w:ascii="Verdana" w:eastAsia="Times New Roman" w:hAnsi="Verdana" w:cs="Times New Roman"/>
                <w:color w:val="1F1E1D"/>
                <w:sz w:val="17"/>
                <w:szCs w:val="17"/>
              </w:rPr>
              <w:t>.</w:t>
            </w:r>
          </w:p>
          <w:p w14:paraId="169B23C8" w14:textId="7907555D" w:rsidR="00256ABB" w:rsidRPr="0055417C" w:rsidRDefault="00256AB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t xml:space="preserve">El Distribuidor no debe alterar de ninguna forma el embalaje, etiquetado o aspecto de los Productos sin la autorización previa por escrito de </w:t>
            </w:r>
            <w:r w:rsidR="00EA5844" w:rsidRPr="0055417C">
              <w:rPr>
                <w:rFonts w:ascii="Verdana" w:eastAsia="Times New Roman" w:hAnsi="Verdana" w:cs="Times New Roman"/>
                <w:color w:val="1F1E1D"/>
                <w:sz w:val="17"/>
                <w:szCs w:val="17"/>
              </w:rPr>
              <w:t>XXX</w:t>
            </w:r>
            <w:r w:rsidRPr="0055417C">
              <w:rPr>
                <w:rFonts w:ascii="Verdana" w:eastAsia="Times New Roman" w:hAnsi="Verdana" w:cs="Times New Roman"/>
                <w:color w:val="1F1E1D"/>
                <w:sz w:val="17"/>
                <w:szCs w:val="17"/>
              </w:rPr>
              <w:t>.</w:t>
            </w:r>
          </w:p>
          <w:p w14:paraId="58B868AD" w14:textId="77777777" w:rsidR="00256ABB" w:rsidRPr="0055417C" w:rsidRDefault="00256AB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t>Los Productos se embarcarán con Certificado Analítico de cada partida.</w:t>
            </w:r>
          </w:p>
          <w:p w14:paraId="35949774" w14:textId="77777777" w:rsidR="00256ABB" w:rsidRPr="0055417C" w:rsidRDefault="00256AB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t>3.4.</w:t>
            </w:r>
          </w:p>
          <w:p w14:paraId="2083187B" w14:textId="77777777" w:rsidR="00256ABB" w:rsidRPr="0055417C" w:rsidRDefault="00256AB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t>Inspección.</w:t>
            </w:r>
          </w:p>
          <w:p w14:paraId="604EEA44" w14:textId="77777777" w:rsidR="00256ABB" w:rsidRPr="0055417C" w:rsidRDefault="00256AB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t>El Distribuidor inspeccionará los Productos apenas los reciba.</w:t>
            </w:r>
          </w:p>
          <w:p w14:paraId="4E7E2CC3" w14:textId="4C57A9EB" w:rsidR="00256ABB" w:rsidRPr="0055417C" w:rsidRDefault="00256AB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t xml:space="preserve">Si el Distribuidor reclama que alguno de los Productos tiene defectos de fábrica o cualquier otro defecto o daño previo a la entrega al Distribuidor o su transportista, lo notificará a </w:t>
            </w:r>
            <w:r w:rsidR="00EA5844" w:rsidRPr="0055417C">
              <w:rPr>
                <w:rFonts w:ascii="Verdana" w:eastAsia="Times New Roman" w:hAnsi="Verdana" w:cs="Times New Roman"/>
                <w:color w:val="1F1E1D"/>
                <w:sz w:val="17"/>
                <w:szCs w:val="17"/>
              </w:rPr>
              <w:t xml:space="preserve">XXX </w:t>
            </w:r>
            <w:r w:rsidRPr="0055417C">
              <w:rPr>
                <w:rFonts w:ascii="Verdana" w:eastAsia="Times New Roman" w:hAnsi="Verdana" w:cs="Times New Roman"/>
                <w:color w:val="1F1E1D"/>
                <w:sz w:val="17"/>
                <w:szCs w:val="17"/>
              </w:rPr>
              <w:t>por escrito dentro de los 3 (tres) días de descubierto el defecto o daño, pero en ningún caso más allá de los 30 (treinta) días de la fecha de entrega del Producto.</w:t>
            </w:r>
          </w:p>
          <w:p w14:paraId="59880A8E" w14:textId="5F6D12FC" w:rsidR="00256ABB" w:rsidRPr="0055417C" w:rsidRDefault="00256AB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t xml:space="preserve">Si fueren incumplidos cualquiera de dichos plazos, caducará el derecho del Distribuidor de efectuar reclamos contra </w:t>
            </w:r>
            <w:r w:rsidR="00EA5844" w:rsidRPr="0055417C">
              <w:rPr>
                <w:rFonts w:ascii="Verdana" w:eastAsia="Times New Roman" w:hAnsi="Verdana" w:cs="Times New Roman"/>
                <w:color w:val="1F1E1D"/>
                <w:sz w:val="17"/>
                <w:szCs w:val="17"/>
              </w:rPr>
              <w:t xml:space="preserve">XXX </w:t>
            </w:r>
            <w:r w:rsidRPr="0055417C">
              <w:rPr>
                <w:rFonts w:ascii="Verdana" w:eastAsia="Times New Roman" w:hAnsi="Verdana" w:cs="Times New Roman"/>
                <w:color w:val="1F1E1D"/>
                <w:sz w:val="17"/>
                <w:szCs w:val="17"/>
              </w:rPr>
              <w:t>por defectos en los Productos.</w:t>
            </w:r>
          </w:p>
          <w:p w14:paraId="5309E1FF" w14:textId="616EEA7D" w:rsidR="00256ABB" w:rsidRPr="0055417C" w:rsidRDefault="00256AB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t xml:space="preserve">En caso de formular un reclamo, el Distribuidor deberá dar amplias posibilidades para que </w:t>
            </w:r>
            <w:r w:rsidR="00EA5844" w:rsidRPr="0055417C">
              <w:rPr>
                <w:rFonts w:ascii="Verdana" w:eastAsia="Times New Roman" w:hAnsi="Verdana" w:cs="Times New Roman"/>
                <w:color w:val="1F1E1D"/>
                <w:sz w:val="17"/>
                <w:szCs w:val="17"/>
              </w:rPr>
              <w:t xml:space="preserve">XXX </w:t>
            </w:r>
            <w:r w:rsidRPr="0055417C">
              <w:rPr>
                <w:rFonts w:ascii="Verdana" w:eastAsia="Times New Roman" w:hAnsi="Verdana" w:cs="Times New Roman"/>
                <w:color w:val="1F1E1D"/>
                <w:sz w:val="17"/>
                <w:szCs w:val="17"/>
              </w:rPr>
              <w:t>inspeccione y testee los Productos cuestionados.</w:t>
            </w:r>
          </w:p>
          <w:p w14:paraId="3D2FC981" w14:textId="77777777" w:rsidR="00256ABB" w:rsidRPr="0055417C" w:rsidRDefault="00256AB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t>3.5.</w:t>
            </w:r>
          </w:p>
          <w:p w14:paraId="6D5239D8" w14:textId="77777777" w:rsidR="00256ABB" w:rsidRPr="0055417C" w:rsidRDefault="00256AB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t>Precio.</w:t>
            </w:r>
          </w:p>
          <w:p w14:paraId="06820776" w14:textId="1FCCF52E" w:rsidR="00256ABB" w:rsidRPr="0055417C" w:rsidRDefault="00256AB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t xml:space="preserve">Los precios de los Productos serán aquellos que figuren en la lista de precios de </w:t>
            </w:r>
            <w:r w:rsidR="00EA5844" w:rsidRPr="0055417C">
              <w:rPr>
                <w:rFonts w:ascii="Verdana" w:eastAsia="Times New Roman" w:hAnsi="Verdana" w:cs="Times New Roman"/>
                <w:color w:val="1F1E1D"/>
                <w:sz w:val="17"/>
                <w:szCs w:val="17"/>
              </w:rPr>
              <w:t xml:space="preserve">XXX </w:t>
            </w:r>
            <w:r w:rsidRPr="0055417C">
              <w:rPr>
                <w:rFonts w:ascii="Verdana" w:eastAsia="Times New Roman" w:hAnsi="Verdana" w:cs="Times New Roman"/>
                <w:color w:val="1F1E1D"/>
                <w:sz w:val="17"/>
                <w:szCs w:val="17"/>
              </w:rPr>
              <w:t>vigente a la fecha de la orden de compra respectiva.</w:t>
            </w:r>
          </w:p>
          <w:p w14:paraId="4564F43C" w14:textId="77777777" w:rsidR="00256ABB" w:rsidRPr="0055417C" w:rsidRDefault="00256AB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t>A efectos de referencia, la lista de precios vigente al momento de suscripción del Contrato se incluye como Anexo C, quedando entendido que esta lista de precios podrá variar y por ende sufrir modificaciones durante la vigencia del Contrato.</w:t>
            </w:r>
          </w:p>
          <w:p w14:paraId="4CFA8EBE" w14:textId="77777777" w:rsidR="00256ABB" w:rsidRPr="0055417C" w:rsidRDefault="00256AB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t>3.6.</w:t>
            </w:r>
          </w:p>
          <w:p w14:paraId="4342ECE9" w14:textId="77777777" w:rsidR="00256ABB" w:rsidRPr="0055417C" w:rsidRDefault="00256AB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lastRenderedPageBreak/>
              <w:t>Forma de pago.</w:t>
            </w:r>
          </w:p>
          <w:p w14:paraId="798770F8" w14:textId="77777777" w:rsidR="00256ABB" w:rsidRPr="0055417C" w:rsidRDefault="00256AB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t>Las condiciones aplicables al pago del Precio de los Productos se establecen en el Anexo D. Todo pago deberá hacerse sin compensación, deducción o retención de cualquier naturaleza.</w:t>
            </w:r>
          </w:p>
          <w:p w14:paraId="5C05E17D" w14:textId="4F06ADD7" w:rsidR="00256ABB" w:rsidRPr="0055417C" w:rsidRDefault="00256AB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t xml:space="preserve">Si </w:t>
            </w:r>
            <w:r w:rsidR="00EA5844" w:rsidRPr="0055417C">
              <w:rPr>
                <w:rFonts w:ascii="Verdana" w:eastAsia="Times New Roman" w:hAnsi="Verdana" w:cs="Times New Roman"/>
                <w:color w:val="1F1E1D"/>
                <w:sz w:val="17"/>
                <w:szCs w:val="17"/>
              </w:rPr>
              <w:t xml:space="preserve">XXX </w:t>
            </w:r>
            <w:r w:rsidRPr="0055417C">
              <w:rPr>
                <w:rFonts w:ascii="Verdana" w:eastAsia="Times New Roman" w:hAnsi="Verdana" w:cs="Times New Roman"/>
                <w:color w:val="1F1E1D"/>
                <w:sz w:val="17"/>
                <w:szCs w:val="17"/>
              </w:rPr>
              <w:t xml:space="preserve">no recibe el pago de conformidad con el método acordado y en la fecha debida, sin perjuicio de cualquier otro derecho o facultad resolutoria, </w:t>
            </w:r>
            <w:r w:rsidR="00EA5844" w:rsidRPr="0055417C">
              <w:rPr>
                <w:rFonts w:ascii="Verdana" w:eastAsia="Times New Roman" w:hAnsi="Verdana" w:cs="Times New Roman"/>
                <w:color w:val="1F1E1D"/>
                <w:sz w:val="17"/>
                <w:szCs w:val="17"/>
              </w:rPr>
              <w:t xml:space="preserve">XXX </w:t>
            </w:r>
            <w:r w:rsidRPr="0055417C">
              <w:rPr>
                <w:rFonts w:ascii="Verdana" w:eastAsia="Times New Roman" w:hAnsi="Verdana" w:cs="Times New Roman"/>
                <w:color w:val="1F1E1D"/>
                <w:sz w:val="17"/>
                <w:szCs w:val="17"/>
              </w:rPr>
              <w:t>tiene derecho a:</w:t>
            </w:r>
          </w:p>
          <w:p w14:paraId="68A85AF0" w14:textId="625E5B4E" w:rsidR="00256ABB" w:rsidRPr="0055417C" w:rsidRDefault="0075035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br/>
            </w:r>
            <w:r w:rsidR="00256ABB" w:rsidRPr="0055417C">
              <w:rPr>
                <w:rFonts w:ascii="Verdana" w:eastAsia="Times New Roman" w:hAnsi="Verdana" w:cs="Times New Roman"/>
                <w:color w:val="1F1E1D"/>
                <w:sz w:val="17"/>
                <w:szCs w:val="17"/>
              </w:rPr>
              <w:t>(a)</w:t>
            </w:r>
            <w:r w:rsidR="00256ABB" w:rsidRPr="0055417C">
              <w:rPr>
                <w:rFonts w:ascii="Verdana" w:eastAsia="Times New Roman" w:hAnsi="Verdana" w:cs="Times New Roman"/>
                <w:color w:val="1F1E1D"/>
                <w:sz w:val="17"/>
                <w:szCs w:val="17"/>
              </w:rPr>
              <w:tab/>
              <w:t>suspender todas las entregas de Productos y/o cancelar cualquier orden de Productos efectuada y/o rechazar cualquier orden de Productos nueva;</w:t>
            </w:r>
          </w:p>
          <w:p w14:paraId="0D92CDB2" w14:textId="77777777" w:rsidR="0075035B" w:rsidRPr="0055417C" w:rsidRDefault="0075035B" w:rsidP="00256ABB">
            <w:pPr>
              <w:spacing w:before="75" w:after="0" w:line="240" w:lineRule="auto"/>
              <w:rPr>
                <w:rFonts w:ascii="Verdana" w:eastAsia="Times New Roman" w:hAnsi="Verdana" w:cs="Times New Roman"/>
                <w:color w:val="1F1E1D"/>
                <w:sz w:val="17"/>
                <w:szCs w:val="17"/>
              </w:rPr>
            </w:pPr>
          </w:p>
          <w:p w14:paraId="1DB5A3EC" w14:textId="4E32C6AA" w:rsidR="00256ABB" w:rsidRPr="0055417C" w:rsidRDefault="00256AB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t>(b)</w:t>
            </w:r>
            <w:r w:rsidRPr="0055417C">
              <w:rPr>
                <w:rFonts w:ascii="Verdana" w:eastAsia="Times New Roman" w:hAnsi="Verdana" w:cs="Times New Roman"/>
                <w:color w:val="1F1E1D"/>
                <w:sz w:val="17"/>
                <w:szCs w:val="17"/>
              </w:rPr>
              <w:tab/>
              <w:t xml:space="preserve">aplicar, a discreción de </w:t>
            </w:r>
            <w:r w:rsidR="00EA5844" w:rsidRPr="0055417C">
              <w:rPr>
                <w:rFonts w:ascii="Verdana" w:eastAsia="Times New Roman" w:hAnsi="Verdana" w:cs="Times New Roman"/>
                <w:color w:val="1F1E1D"/>
                <w:sz w:val="17"/>
                <w:szCs w:val="17"/>
              </w:rPr>
              <w:t>XXX</w:t>
            </w:r>
            <w:r w:rsidRPr="0055417C">
              <w:rPr>
                <w:rFonts w:ascii="Verdana" w:eastAsia="Times New Roman" w:hAnsi="Verdana" w:cs="Times New Roman"/>
                <w:color w:val="1F1E1D"/>
                <w:sz w:val="17"/>
                <w:szCs w:val="17"/>
              </w:rPr>
              <w:t>, cualquier pago ya recibido en relación con los Productos entregados, así como retener y compensar cualquier suma que adeude al Distribuidor bajo este Contrato con cualquier suma que éste le adeude;</w:t>
            </w:r>
          </w:p>
          <w:p w14:paraId="5C5E5C70" w14:textId="5F70E41D" w:rsidR="00256ABB" w:rsidRPr="0055417C" w:rsidRDefault="0075035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br/>
            </w:r>
            <w:r w:rsidR="00256ABB" w:rsidRPr="0055417C">
              <w:rPr>
                <w:rFonts w:ascii="Verdana" w:eastAsia="Times New Roman" w:hAnsi="Verdana" w:cs="Times New Roman"/>
                <w:color w:val="1F1E1D"/>
                <w:sz w:val="17"/>
                <w:szCs w:val="17"/>
              </w:rPr>
              <w:t>(c)</w:t>
            </w:r>
            <w:r w:rsidR="00256ABB" w:rsidRPr="0055417C">
              <w:rPr>
                <w:rFonts w:ascii="Verdana" w:eastAsia="Times New Roman" w:hAnsi="Verdana" w:cs="Times New Roman"/>
                <w:color w:val="1F1E1D"/>
                <w:sz w:val="17"/>
                <w:szCs w:val="17"/>
              </w:rPr>
              <w:tab/>
              <w:t>devengar intereses sobre los importes pendientes de pago, acumulados y calculados de forma diaria a la tasa de interés indicada en el Anexo D, durante el periodo comprendido entre el día siguiente a la fecha de vencimiento del pago hasta la fecha en que se realice efectivamente el pago (incluida).</w:t>
            </w:r>
          </w:p>
          <w:p w14:paraId="2B0D2E5F" w14:textId="08EC0A93" w:rsidR="00256ABB" w:rsidRPr="0055417C" w:rsidRDefault="0075035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br/>
            </w:r>
            <w:r w:rsidR="00256ABB" w:rsidRPr="0055417C">
              <w:rPr>
                <w:rFonts w:ascii="Verdana" w:eastAsia="Times New Roman" w:hAnsi="Verdana" w:cs="Times New Roman"/>
                <w:color w:val="1F1E1D"/>
                <w:sz w:val="17"/>
                <w:szCs w:val="17"/>
              </w:rPr>
              <w:t>Los intereses se calcularán de forma mensual y se capitalizarán semestralmente y serán pagaderos a demanda.</w:t>
            </w:r>
          </w:p>
          <w:p w14:paraId="65587CED" w14:textId="33B8CBC1" w:rsidR="00256ABB" w:rsidRPr="0055417C" w:rsidRDefault="00256ABB" w:rsidP="00256ABB">
            <w:pPr>
              <w:spacing w:before="75" w:after="0" w:line="240" w:lineRule="auto"/>
              <w:rPr>
                <w:rFonts w:ascii="Verdana" w:hAnsi="Verdana"/>
                <w:sz w:val="17"/>
                <w:szCs w:val="17"/>
              </w:rPr>
            </w:pPr>
            <w:r w:rsidRPr="0055417C">
              <w:rPr>
                <w:rFonts w:ascii="Verdana" w:eastAsia="Times New Roman" w:hAnsi="Verdana" w:cs="Times New Roman"/>
                <w:color w:val="1F1E1D"/>
                <w:sz w:val="17"/>
                <w:szCs w:val="17"/>
              </w:rPr>
              <w:t>La mora es automática por el vencimiento del plazo de pago, sin necesidad de interpelación.</w:t>
            </w:r>
            <w:r w:rsidRPr="0055417C">
              <w:rPr>
                <w:rFonts w:ascii="Verdana" w:hAnsi="Verdana"/>
                <w:sz w:val="17"/>
                <w:szCs w:val="17"/>
              </w:rPr>
              <w:t xml:space="preserve"> </w:t>
            </w:r>
          </w:p>
        </w:tc>
        <w:tc>
          <w:tcPr>
            <w:tcW w:w="2603" w:type="pct"/>
            <w:shd w:val="clear" w:color="auto" w:fill="F8F7F1"/>
            <w:hideMark/>
          </w:tcPr>
          <w:p w14:paraId="77B7C8E1" w14:textId="3701A062" w:rsidR="00256ABB" w:rsidRPr="0055417C" w:rsidRDefault="00256ABB" w:rsidP="00256ABB">
            <w:pPr>
              <w:rPr>
                <w:rFonts w:ascii="Verdana" w:hAnsi="Verdana"/>
                <w:sz w:val="17"/>
                <w:szCs w:val="17"/>
              </w:rPr>
            </w:pPr>
            <w:r w:rsidRPr="0055417C">
              <w:rPr>
                <w:rFonts w:ascii="Verdana" w:eastAsia="Times New Roman" w:hAnsi="Verdana" w:cs="Times New Roman"/>
                <w:b/>
                <w:bCs/>
                <w:color w:val="1F1E1D"/>
                <w:sz w:val="17"/>
                <w:szCs w:val="17"/>
              </w:rPr>
              <w:lastRenderedPageBreak/>
              <w:t>Translation - French</w:t>
            </w:r>
            <w:r w:rsidRPr="0055417C">
              <w:rPr>
                <w:rFonts w:ascii="Verdana" w:eastAsia="Times New Roman" w:hAnsi="Verdana" w:cs="Times New Roman"/>
                <w:color w:val="1F1E1D"/>
                <w:sz w:val="17"/>
                <w:szCs w:val="17"/>
              </w:rPr>
              <w:br/>
            </w:r>
            <w:r w:rsidRPr="0055417C">
              <w:rPr>
                <w:rFonts w:ascii="Verdana" w:hAnsi="Verdana"/>
                <w:sz w:val="17"/>
                <w:szCs w:val="17"/>
              </w:rPr>
              <w:t>CLAUSE TROISIÈME:</w:t>
            </w:r>
            <w:r w:rsidR="0075035B" w:rsidRPr="0055417C">
              <w:rPr>
                <w:rFonts w:ascii="Verdana" w:hAnsi="Verdana"/>
                <w:sz w:val="17"/>
                <w:szCs w:val="17"/>
              </w:rPr>
              <w:br/>
            </w:r>
            <w:r w:rsidRPr="0055417C">
              <w:rPr>
                <w:rFonts w:ascii="Verdana" w:hAnsi="Verdana"/>
                <w:sz w:val="17"/>
                <w:szCs w:val="17"/>
              </w:rPr>
              <w:t>Approvisionnement</w:t>
            </w:r>
            <w:r w:rsidR="0075035B" w:rsidRPr="0055417C">
              <w:rPr>
                <w:rFonts w:ascii="Verdana" w:hAnsi="Verdana"/>
                <w:sz w:val="17"/>
                <w:szCs w:val="17"/>
              </w:rPr>
              <w:br/>
            </w:r>
            <w:r w:rsidRPr="0055417C">
              <w:rPr>
                <w:rFonts w:ascii="Verdana" w:hAnsi="Verdana"/>
                <w:sz w:val="17"/>
                <w:szCs w:val="17"/>
              </w:rPr>
              <w:t>3.1.</w:t>
            </w:r>
          </w:p>
          <w:p w14:paraId="60A2590C" w14:textId="77777777" w:rsidR="00256ABB" w:rsidRPr="0055417C" w:rsidRDefault="00256ABB" w:rsidP="00256ABB">
            <w:pPr>
              <w:rPr>
                <w:rFonts w:ascii="Verdana" w:hAnsi="Verdana"/>
                <w:sz w:val="17"/>
                <w:szCs w:val="17"/>
              </w:rPr>
            </w:pPr>
            <w:r w:rsidRPr="0055417C">
              <w:rPr>
                <w:rFonts w:ascii="Verdana" w:hAnsi="Verdana"/>
                <w:sz w:val="17"/>
                <w:szCs w:val="17"/>
              </w:rPr>
              <w:t>Ordre d’achat.</w:t>
            </w:r>
          </w:p>
          <w:p w14:paraId="4F3EFE32" w14:textId="336C1494" w:rsidR="00256ABB" w:rsidRPr="0055417C" w:rsidRDefault="00256ABB" w:rsidP="00256ABB">
            <w:pPr>
              <w:rPr>
                <w:rFonts w:ascii="Verdana" w:hAnsi="Verdana"/>
                <w:sz w:val="17"/>
                <w:szCs w:val="17"/>
              </w:rPr>
            </w:pPr>
            <w:r w:rsidRPr="0055417C">
              <w:rPr>
                <w:rFonts w:ascii="Verdana" w:hAnsi="Verdana"/>
                <w:sz w:val="17"/>
                <w:szCs w:val="17"/>
              </w:rPr>
              <w:t xml:space="preserve">Le Distributeur demandera des Produits par des ordres d’achat adressés à </w:t>
            </w:r>
            <w:r w:rsidR="00EA5844" w:rsidRPr="0055417C">
              <w:rPr>
                <w:rFonts w:ascii="Verdana" w:eastAsia="Times New Roman" w:hAnsi="Verdana" w:cs="Times New Roman"/>
                <w:color w:val="1F1E1D"/>
                <w:sz w:val="17"/>
                <w:szCs w:val="17"/>
              </w:rPr>
              <w:t>XXX</w:t>
            </w:r>
            <w:r w:rsidRPr="0055417C">
              <w:rPr>
                <w:rFonts w:ascii="Verdana" w:hAnsi="Verdana"/>
                <w:sz w:val="17"/>
                <w:szCs w:val="17"/>
              </w:rPr>
              <w:t xml:space="preserve">, lesquels, une fois acceptés par </w:t>
            </w:r>
            <w:r w:rsidR="00EA5844" w:rsidRPr="0055417C">
              <w:rPr>
                <w:rFonts w:ascii="Verdana" w:eastAsia="Times New Roman" w:hAnsi="Verdana" w:cs="Times New Roman"/>
                <w:color w:val="1F1E1D"/>
                <w:sz w:val="17"/>
                <w:szCs w:val="17"/>
              </w:rPr>
              <w:t>XXX</w:t>
            </w:r>
            <w:r w:rsidRPr="0055417C">
              <w:rPr>
                <w:rFonts w:ascii="Verdana" w:hAnsi="Verdana"/>
                <w:sz w:val="17"/>
                <w:szCs w:val="17"/>
              </w:rPr>
              <w:t>, ne pourront être annulés par le Distributeur, ni dans sa totalité ni partiellement.</w:t>
            </w:r>
          </w:p>
          <w:p w14:paraId="3EAAA007" w14:textId="296BDE41" w:rsidR="00256ABB" w:rsidRPr="0055417C" w:rsidRDefault="00256ABB" w:rsidP="00256ABB">
            <w:pPr>
              <w:rPr>
                <w:rFonts w:ascii="Verdana" w:hAnsi="Verdana"/>
                <w:sz w:val="17"/>
                <w:szCs w:val="17"/>
              </w:rPr>
            </w:pPr>
            <w:r w:rsidRPr="0055417C">
              <w:rPr>
                <w:rFonts w:ascii="Verdana" w:hAnsi="Verdana"/>
                <w:sz w:val="17"/>
                <w:szCs w:val="17"/>
              </w:rPr>
              <w:t xml:space="preserve">Chaque fois qu’une demande soit adressée à </w:t>
            </w:r>
            <w:r w:rsidR="00EA5844" w:rsidRPr="0055417C">
              <w:rPr>
                <w:rFonts w:ascii="Verdana" w:eastAsia="Times New Roman" w:hAnsi="Verdana" w:cs="Times New Roman"/>
                <w:color w:val="1F1E1D"/>
                <w:sz w:val="17"/>
                <w:szCs w:val="17"/>
              </w:rPr>
              <w:t>XXX</w:t>
            </w:r>
            <w:r w:rsidRPr="0055417C">
              <w:rPr>
                <w:rFonts w:ascii="Verdana" w:hAnsi="Verdana"/>
                <w:sz w:val="17"/>
                <w:szCs w:val="17"/>
              </w:rPr>
              <w:t>, toutes les informations pertinentes y seront comprises, ainsi que le Lieu de Livraison.</w:t>
            </w:r>
          </w:p>
          <w:p w14:paraId="7AD28F17" w14:textId="1679E6A5" w:rsidR="00256ABB" w:rsidRPr="0055417C" w:rsidRDefault="00256ABB" w:rsidP="00256ABB">
            <w:pPr>
              <w:rPr>
                <w:rFonts w:ascii="Verdana" w:hAnsi="Verdana"/>
                <w:sz w:val="17"/>
                <w:szCs w:val="17"/>
              </w:rPr>
            </w:pPr>
            <w:r w:rsidRPr="0055417C">
              <w:rPr>
                <w:rFonts w:ascii="Verdana" w:hAnsi="Verdana"/>
                <w:sz w:val="17"/>
                <w:szCs w:val="17"/>
              </w:rPr>
              <w:t xml:space="preserve">Les Parties déclarent et acceptent expressément que </w:t>
            </w:r>
            <w:r w:rsidR="00EA5844" w:rsidRPr="0055417C">
              <w:rPr>
                <w:rFonts w:ascii="Verdana" w:eastAsia="Times New Roman" w:hAnsi="Verdana" w:cs="Times New Roman"/>
                <w:color w:val="1F1E1D"/>
                <w:sz w:val="17"/>
                <w:szCs w:val="17"/>
              </w:rPr>
              <w:t xml:space="preserve">XXX </w:t>
            </w:r>
            <w:r w:rsidRPr="0055417C">
              <w:rPr>
                <w:rFonts w:ascii="Verdana" w:hAnsi="Verdana"/>
                <w:sz w:val="17"/>
                <w:szCs w:val="17"/>
              </w:rPr>
              <w:t>n’est pas tenue d’accepter aucun ordre d’achat émis par le Distributeur, ni de justifier son refus.</w:t>
            </w:r>
            <w:r w:rsidR="003C7E56" w:rsidRPr="0055417C">
              <w:rPr>
                <w:rFonts w:ascii="Verdana" w:hAnsi="Verdana"/>
                <w:sz w:val="17"/>
                <w:szCs w:val="17"/>
              </w:rPr>
              <w:br/>
            </w:r>
            <w:r w:rsidR="00EA5844" w:rsidRPr="0055417C">
              <w:rPr>
                <w:rFonts w:ascii="Verdana" w:eastAsia="Times New Roman" w:hAnsi="Verdana" w:cs="Times New Roman"/>
                <w:color w:val="1F1E1D"/>
                <w:sz w:val="17"/>
                <w:szCs w:val="17"/>
              </w:rPr>
              <w:t xml:space="preserve">XXX </w:t>
            </w:r>
            <w:r w:rsidRPr="0055417C">
              <w:rPr>
                <w:rFonts w:ascii="Verdana" w:hAnsi="Verdana"/>
                <w:sz w:val="17"/>
                <w:szCs w:val="17"/>
              </w:rPr>
              <w:t>n'assure pas la continuité ni de la production ni de la fourniture des Produits.</w:t>
            </w:r>
            <w:r w:rsidR="003C7E56" w:rsidRPr="0055417C">
              <w:rPr>
                <w:rFonts w:ascii="Verdana" w:hAnsi="Verdana"/>
                <w:sz w:val="17"/>
                <w:szCs w:val="17"/>
              </w:rPr>
              <w:br/>
            </w:r>
            <w:r w:rsidRPr="0055417C">
              <w:rPr>
                <w:rFonts w:ascii="Verdana" w:hAnsi="Verdana"/>
                <w:sz w:val="17"/>
                <w:szCs w:val="17"/>
              </w:rPr>
              <w:t>La fourniture des Produits dépend de la disponibilité de stock.</w:t>
            </w:r>
          </w:p>
          <w:p w14:paraId="7AC86B79" w14:textId="77777777" w:rsidR="00256ABB" w:rsidRPr="0055417C" w:rsidRDefault="00256ABB" w:rsidP="00256ABB">
            <w:pPr>
              <w:rPr>
                <w:rFonts w:ascii="Verdana" w:hAnsi="Verdana"/>
                <w:sz w:val="17"/>
                <w:szCs w:val="17"/>
              </w:rPr>
            </w:pPr>
            <w:r w:rsidRPr="0055417C">
              <w:rPr>
                <w:rFonts w:ascii="Verdana" w:hAnsi="Verdana"/>
                <w:sz w:val="17"/>
                <w:szCs w:val="17"/>
              </w:rPr>
              <w:t>3.2.</w:t>
            </w:r>
          </w:p>
          <w:p w14:paraId="5703CECB" w14:textId="77777777" w:rsidR="003C7E56" w:rsidRPr="0055417C" w:rsidRDefault="00256ABB" w:rsidP="00256ABB">
            <w:pPr>
              <w:rPr>
                <w:rFonts w:ascii="Verdana" w:hAnsi="Verdana"/>
                <w:sz w:val="17"/>
                <w:szCs w:val="17"/>
              </w:rPr>
            </w:pPr>
            <w:r w:rsidRPr="0055417C">
              <w:rPr>
                <w:rFonts w:ascii="Verdana" w:hAnsi="Verdana"/>
                <w:sz w:val="17"/>
                <w:szCs w:val="17"/>
              </w:rPr>
              <w:lastRenderedPageBreak/>
              <w:t>Restrictions.</w:t>
            </w:r>
          </w:p>
          <w:p w14:paraId="15686324" w14:textId="3CE9B4A0" w:rsidR="00256ABB" w:rsidRPr="0055417C" w:rsidRDefault="00256ABB" w:rsidP="00256ABB">
            <w:pPr>
              <w:rPr>
                <w:rFonts w:ascii="Verdana" w:hAnsi="Verdana"/>
                <w:sz w:val="17"/>
                <w:szCs w:val="17"/>
              </w:rPr>
            </w:pPr>
            <w:r w:rsidRPr="0055417C">
              <w:rPr>
                <w:rFonts w:ascii="Verdana" w:hAnsi="Verdana"/>
                <w:sz w:val="17"/>
                <w:szCs w:val="17"/>
              </w:rPr>
              <w:t>Le Distributeur ne doit pas:</w:t>
            </w:r>
            <w:r w:rsidR="003C7E56" w:rsidRPr="0055417C">
              <w:rPr>
                <w:rFonts w:ascii="Verdana" w:hAnsi="Verdana"/>
                <w:sz w:val="17"/>
                <w:szCs w:val="17"/>
              </w:rPr>
              <w:br/>
            </w:r>
            <w:r w:rsidRPr="0055417C">
              <w:rPr>
                <w:rFonts w:ascii="Verdana" w:hAnsi="Verdana"/>
                <w:sz w:val="17"/>
                <w:szCs w:val="17"/>
              </w:rPr>
              <w:t xml:space="preserve">(a) obtenir les Produits de personne en dehors de </w:t>
            </w:r>
            <w:r w:rsidR="00EA5844" w:rsidRPr="0055417C">
              <w:rPr>
                <w:rFonts w:ascii="Verdana" w:eastAsia="Times New Roman" w:hAnsi="Verdana" w:cs="Times New Roman"/>
                <w:color w:val="1F1E1D"/>
                <w:sz w:val="17"/>
                <w:szCs w:val="17"/>
              </w:rPr>
              <w:t xml:space="preserve">XXX </w:t>
            </w:r>
            <w:r w:rsidRPr="0055417C">
              <w:rPr>
                <w:rFonts w:ascii="Verdana" w:hAnsi="Verdana"/>
                <w:sz w:val="17"/>
                <w:szCs w:val="17"/>
              </w:rPr>
              <w:t xml:space="preserve">ou un tiers préalablement autorisé par écrit par </w:t>
            </w:r>
            <w:r w:rsidR="00EA5844" w:rsidRPr="0055417C">
              <w:rPr>
                <w:rFonts w:ascii="Verdana" w:eastAsia="Times New Roman" w:hAnsi="Verdana" w:cs="Times New Roman"/>
                <w:color w:val="1F1E1D"/>
                <w:sz w:val="17"/>
                <w:szCs w:val="17"/>
              </w:rPr>
              <w:t>XXX</w:t>
            </w:r>
            <w:r w:rsidRPr="0055417C">
              <w:rPr>
                <w:rFonts w:ascii="Verdana" w:hAnsi="Verdana"/>
                <w:sz w:val="17"/>
                <w:szCs w:val="17"/>
              </w:rPr>
              <w:t>; et (b) chercher des clients, établir des succursales, tenir des magasins de Produits, ou exporter, commercialiser ou livrer - directement ou indirectement - les Produits en dehors du Territoire.</w:t>
            </w:r>
          </w:p>
          <w:p w14:paraId="513C40EA" w14:textId="77777777" w:rsidR="003C7E56" w:rsidRPr="0055417C" w:rsidRDefault="00256ABB" w:rsidP="00256ABB">
            <w:pPr>
              <w:rPr>
                <w:rFonts w:ascii="Verdana" w:hAnsi="Verdana"/>
                <w:sz w:val="17"/>
                <w:szCs w:val="17"/>
              </w:rPr>
            </w:pPr>
            <w:r w:rsidRPr="0055417C">
              <w:rPr>
                <w:rFonts w:ascii="Verdana" w:hAnsi="Verdana"/>
                <w:sz w:val="17"/>
                <w:szCs w:val="17"/>
              </w:rPr>
              <w:t>3.3.</w:t>
            </w:r>
          </w:p>
          <w:p w14:paraId="600C0CD4" w14:textId="2AC135DE" w:rsidR="00256ABB" w:rsidRPr="0055417C" w:rsidRDefault="00256ABB" w:rsidP="00256ABB">
            <w:pPr>
              <w:rPr>
                <w:rFonts w:ascii="Verdana" w:hAnsi="Verdana"/>
                <w:sz w:val="17"/>
                <w:szCs w:val="17"/>
              </w:rPr>
            </w:pPr>
            <w:r w:rsidRPr="0055417C">
              <w:rPr>
                <w:rFonts w:ascii="Verdana" w:hAnsi="Verdana"/>
                <w:sz w:val="17"/>
                <w:szCs w:val="17"/>
              </w:rPr>
              <w:t>Livraison.</w:t>
            </w:r>
          </w:p>
          <w:p w14:paraId="055C25BC" w14:textId="0ABFD2CE" w:rsidR="00256ABB" w:rsidRPr="0055417C" w:rsidRDefault="00EA5844" w:rsidP="00256ABB">
            <w:pPr>
              <w:rPr>
                <w:rFonts w:ascii="Verdana" w:hAnsi="Verdana"/>
                <w:sz w:val="17"/>
                <w:szCs w:val="17"/>
              </w:rPr>
            </w:pPr>
            <w:r w:rsidRPr="0055417C">
              <w:rPr>
                <w:rFonts w:ascii="Verdana" w:eastAsia="Times New Roman" w:hAnsi="Verdana" w:cs="Times New Roman"/>
                <w:color w:val="1F1E1D"/>
                <w:sz w:val="17"/>
                <w:szCs w:val="17"/>
              </w:rPr>
              <w:t xml:space="preserve">XXX </w:t>
            </w:r>
            <w:r w:rsidR="00256ABB" w:rsidRPr="0055417C">
              <w:rPr>
                <w:rFonts w:ascii="Verdana" w:hAnsi="Verdana"/>
                <w:sz w:val="17"/>
                <w:szCs w:val="17"/>
              </w:rPr>
              <w:t>fera des efforts raisonnables pour respecter les dates de livraison.</w:t>
            </w:r>
            <w:r w:rsidR="003C7E56" w:rsidRPr="0055417C">
              <w:rPr>
                <w:rFonts w:ascii="Verdana" w:hAnsi="Verdana"/>
                <w:sz w:val="17"/>
                <w:szCs w:val="17"/>
              </w:rPr>
              <w:br/>
            </w:r>
            <w:r w:rsidR="00256ABB" w:rsidRPr="0055417C">
              <w:rPr>
                <w:rFonts w:ascii="Verdana" w:hAnsi="Verdana"/>
                <w:sz w:val="17"/>
                <w:szCs w:val="17"/>
              </w:rPr>
              <w:t xml:space="preserve">Le Distributeur reconnaît que ces dates sont des estimations, et non des engagements précis, de façon que </w:t>
            </w:r>
            <w:r w:rsidRPr="0055417C">
              <w:rPr>
                <w:rFonts w:ascii="Verdana" w:eastAsia="Times New Roman" w:hAnsi="Verdana" w:cs="Times New Roman"/>
                <w:color w:val="1F1E1D"/>
                <w:sz w:val="17"/>
                <w:szCs w:val="17"/>
              </w:rPr>
              <w:t xml:space="preserve">XXX </w:t>
            </w:r>
            <w:r w:rsidR="00256ABB" w:rsidRPr="0055417C">
              <w:rPr>
                <w:rFonts w:ascii="Verdana" w:hAnsi="Verdana"/>
                <w:sz w:val="17"/>
                <w:szCs w:val="17"/>
              </w:rPr>
              <w:t>ne se rend pas responsable des préjudices provoqués en cas de retard.</w:t>
            </w:r>
            <w:r w:rsidR="003C7E56" w:rsidRPr="0055417C">
              <w:rPr>
                <w:rFonts w:ascii="Verdana" w:hAnsi="Verdana"/>
                <w:sz w:val="17"/>
                <w:szCs w:val="17"/>
              </w:rPr>
              <w:br/>
            </w:r>
            <w:r w:rsidR="00256ABB" w:rsidRPr="0055417C">
              <w:rPr>
                <w:rFonts w:ascii="Verdana" w:hAnsi="Verdana"/>
                <w:sz w:val="17"/>
                <w:szCs w:val="17"/>
              </w:rPr>
              <w:t xml:space="preserve">Les Produits seront fournis au Distributeur selon les formes, les emballages et d’autres mesures de stockage, manipulation, envoi, promotion et vente adoptées unilatéralement par </w:t>
            </w:r>
            <w:r w:rsidRPr="0055417C">
              <w:rPr>
                <w:rFonts w:ascii="Verdana" w:eastAsia="Times New Roman" w:hAnsi="Verdana" w:cs="Times New Roman"/>
                <w:color w:val="1F1E1D"/>
                <w:sz w:val="17"/>
                <w:szCs w:val="17"/>
              </w:rPr>
              <w:t>XXX</w:t>
            </w:r>
            <w:r w:rsidR="00256ABB" w:rsidRPr="0055417C">
              <w:rPr>
                <w:rFonts w:ascii="Verdana" w:hAnsi="Verdana"/>
                <w:sz w:val="17"/>
                <w:szCs w:val="17"/>
              </w:rPr>
              <w:t>.</w:t>
            </w:r>
            <w:r w:rsidR="003C7E56" w:rsidRPr="0055417C">
              <w:rPr>
                <w:rFonts w:ascii="Verdana" w:hAnsi="Verdana"/>
                <w:sz w:val="17"/>
                <w:szCs w:val="17"/>
              </w:rPr>
              <w:br/>
            </w:r>
            <w:r w:rsidR="00256ABB" w:rsidRPr="0055417C">
              <w:rPr>
                <w:rFonts w:ascii="Verdana" w:hAnsi="Verdana"/>
                <w:sz w:val="17"/>
                <w:szCs w:val="17"/>
              </w:rPr>
              <w:t xml:space="preserve">Le Distributeur ne doit pas altérer aucunement l’emballage, l'étiquetage ou l’aspect des Produits, sans autorisation préalable par écrit de </w:t>
            </w:r>
            <w:r w:rsidRPr="0055417C">
              <w:rPr>
                <w:rFonts w:ascii="Verdana" w:eastAsia="Times New Roman" w:hAnsi="Verdana" w:cs="Times New Roman"/>
                <w:color w:val="1F1E1D"/>
                <w:sz w:val="17"/>
                <w:szCs w:val="17"/>
              </w:rPr>
              <w:t>XXX</w:t>
            </w:r>
            <w:r w:rsidR="00256ABB" w:rsidRPr="0055417C">
              <w:rPr>
                <w:rFonts w:ascii="Verdana" w:hAnsi="Verdana"/>
                <w:sz w:val="17"/>
                <w:szCs w:val="17"/>
              </w:rPr>
              <w:t>.</w:t>
            </w:r>
          </w:p>
          <w:p w14:paraId="3B2052A5" w14:textId="77777777" w:rsidR="00256ABB" w:rsidRPr="0055417C" w:rsidRDefault="00256ABB" w:rsidP="00256ABB">
            <w:pPr>
              <w:rPr>
                <w:rFonts w:ascii="Verdana" w:hAnsi="Verdana"/>
                <w:sz w:val="17"/>
                <w:szCs w:val="17"/>
              </w:rPr>
            </w:pPr>
            <w:r w:rsidRPr="0055417C">
              <w:rPr>
                <w:rFonts w:ascii="Verdana" w:hAnsi="Verdana"/>
                <w:sz w:val="17"/>
                <w:szCs w:val="17"/>
              </w:rPr>
              <w:t>Les Produits seront embarqués avec le certificat analytique de chaque partie.</w:t>
            </w:r>
          </w:p>
          <w:p w14:paraId="620F6A5E" w14:textId="77777777" w:rsidR="00256ABB" w:rsidRPr="0055417C" w:rsidRDefault="00256ABB" w:rsidP="00256ABB">
            <w:pPr>
              <w:rPr>
                <w:rFonts w:ascii="Verdana" w:hAnsi="Verdana"/>
                <w:sz w:val="17"/>
                <w:szCs w:val="17"/>
              </w:rPr>
            </w:pPr>
            <w:r w:rsidRPr="0055417C">
              <w:rPr>
                <w:rFonts w:ascii="Verdana" w:hAnsi="Verdana"/>
                <w:sz w:val="17"/>
                <w:szCs w:val="17"/>
              </w:rPr>
              <w:t>3.4.</w:t>
            </w:r>
          </w:p>
          <w:p w14:paraId="5040DDE1" w14:textId="77777777" w:rsidR="0075035B" w:rsidRPr="0055417C" w:rsidRDefault="00256ABB" w:rsidP="00256ABB">
            <w:pPr>
              <w:rPr>
                <w:rFonts w:ascii="Verdana" w:hAnsi="Verdana"/>
                <w:sz w:val="17"/>
                <w:szCs w:val="17"/>
              </w:rPr>
            </w:pPr>
            <w:r w:rsidRPr="0055417C">
              <w:rPr>
                <w:rFonts w:ascii="Verdana" w:hAnsi="Verdana"/>
                <w:sz w:val="17"/>
                <w:szCs w:val="17"/>
              </w:rPr>
              <w:t>Inspection.</w:t>
            </w:r>
          </w:p>
          <w:p w14:paraId="77808F71" w14:textId="41DCCB79" w:rsidR="00256ABB" w:rsidRPr="0055417C" w:rsidRDefault="00256ABB" w:rsidP="00256ABB">
            <w:pPr>
              <w:rPr>
                <w:rFonts w:ascii="Verdana" w:hAnsi="Verdana"/>
                <w:sz w:val="17"/>
                <w:szCs w:val="17"/>
              </w:rPr>
            </w:pPr>
            <w:r w:rsidRPr="0055417C">
              <w:rPr>
                <w:rFonts w:ascii="Verdana" w:hAnsi="Verdana"/>
                <w:sz w:val="17"/>
                <w:szCs w:val="17"/>
              </w:rPr>
              <w:t>Dès qu’il les aura reçus, le Distributeur fera l’inspection des Produits.</w:t>
            </w:r>
            <w:r w:rsidR="0075035B" w:rsidRPr="0055417C">
              <w:rPr>
                <w:rFonts w:ascii="Verdana" w:hAnsi="Verdana"/>
                <w:sz w:val="17"/>
                <w:szCs w:val="17"/>
              </w:rPr>
              <w:br/>
            </w:r>
            <w:r w:rsidRPr="0055417C">
              <w:rPr>
                <w:rFonts w:ascii="Verdana" w:hAnsi="Verdana"/>
                <w:sz w:val="17"/>
                <w:szCs w:val="17"/>
              </w:rPr>
              <w:t xml:space="preserve">Au cas où le Distributeur réclamerait qu’un des Produits accuse de défauts de fabrication ou quelque autre défaut ou dommage, antérieur à la livraison au Distributeur ou à son transporteur, il le signifiera par écrit à </w:t>
            </w:r>
            <w:r w:rsidR="00EA5844" w:rsidRPr="0055417C">
              <w:rPr>
                <w:rFonts w:ascii="Verdana" w:eastAsia="Times New Roman" w:hAnsi="Verdana" w:cs="Times New Roman"/>
                <w:color w:val="1F1E1D"/>
                <w:sz w:val="17"/>
                <w:szCs w:val="17"/>
              </w:rPr>
              <w:t xml:space="preserve">XXX </w:t>
            </w:r>
            <w:r w:rsidRPr="0055417C">
              <w:rPr>
                <w:rFonts w:ascii="Verdana" w:hAnsi="Verdana"/>
                <w:sz w:val="17"/>
                <w:szCs w:val="17"/>
              </w:rPr>
              <w:t xml:space="preserve">dans les 3 (trois) jours suivant la découverte du défaut ou du dommage, mais en aucun cas au-delà des 30 (trente) jours suivant la date de livraison du Produit. </w:t>
            </w:r>
            <w:r w:rsidR="0075035B" w:rsidRPr="0055417C">
              <w:rPr>
                <w:rFonts w:ascii="Verdana" w:hAnsi="Verdana"/>
                <w:sz w:val="17"/>
                <w:szCs w:val="17"/>
              </w:rPr>
              <w:br/>
            </w:r>
            <w:r w:rsidR="0075035B" w:rsidRPr="0055417C">
              <w:rPr>
                <w:rFonts w:ascii="Verdana" w:hAnsi="Verdana"/>
                <w:sz w:val="17"/>
                <w:szCs w:val="17"/>
              </w:rPr>
              <w:br/>
            </w:r>
            <w:r w:rsidRPr="0055417C">
              <w:rPr>
                <w:rFonts w:ascii="Verdana" w:hAnsi="Verdana"/>
                <w:sz w:val="17"/>
                <w:szCs w:val="17"/>
              </w:rPr>
              <w:t xml:space="preserve">Si l’un ou l’autre de ces délais n'est pas respecté, le Distributeur n’aura plus le droit d’adresser des réclamations à </w:t>
            </w:r>
            <w:r w:rsidR="00EA5844" w:rsidRPr="0055417C">
              <w:rPr>
                <w:rFonts w:ascii="Verdana" w:eastAsia="Times New Roman" w:hAnsi="Verdana" w:cs="Times New Roman"/>
                <w:color w:val="1F1E1D"/>
                <w:sz w:val="17"/>
                <w:szCs w:val="17"/>
              </w:rPr>
              <w:t xml:space="preserve">XXX </w:t>
            </w:r>
            <w:r w:rsidRPr="0055417C">
              <w:rPr>
                <w:rFonts w:ascii="Verdana" w:hAnsi="Verdana"/>
                <w:sz w:val="17"/>
                <w:szCs w:val="17"/>
              </w:rPr>
              <w:t>pour des défauts dans les Produits.</w:t>
            </w:r>
            <w:r w:rsidR="0075035B" w:rsidRPr="0055417C">
              <w:rPr>
                <w:rFonts w:ascii="Verdana" w:hAnsi="Verdana"/>
                <w:sz w:val="17"/>
                <w:szCs w:val="17"/>
              </w:rPr>
              <w:br/>
            </w:r>
            <w:r w:rsidRPr="0055417C">
              <w:rPr>
                <w:rFonts w:ascii="Verdana" w:hAnsi="Verdana"/>
                <w:sz w:val="17"/>
                <w:szCs w:val="17"/>
              </w:rPr>
              <w:t xml:space="preserve">En cas de réclamation, le Distributeur doit donner à </w:t>
            </w:r>
            <w:r w:rsidR="00EA5844" w:rsidRPr="0055417C">
              <w:rPr>
                <w:rFonts w:ascii="Verdana" w:eastAsia="Times New Roman" w:hAnsi="Verdana" w:cs="Times New Roman"/>
                <w:color w:val="1F1E1D"/>
                <w:sz w:val="17"/>
                <w:szCs w:val="17"/>
              </w:rPr>
              <w:t xml:space="preserve">XXX </w:t>
            </w:r>
            <w:r w:rsidRPr="0055417C">
              <w:rPr>
                <w:rFonts w:ascii="Verdana" w:hAnsi="Verdana"/>
                <w:sz w:val="17"/>
                <w:szCs w:val="17"/>
              </w:rPr>
              <w:t>d’amples possibilités d’examiner et tester les Produits en question.</w:t>
            </w:r>
          </w:p>
          <w:p w14:paraId="1A0BCABA" w14:textId="77777777" w:rsidR="00256ABB" w:rsidRPr="0055417C" w:rsidRDefault="00256ABB" w:rsidP="00256ABB">
            <w:pPr>
              <w:rPr>
                <w:rFonts w:ascii="Verdana" w:hAnsi="Verdana"/>
                <w:sz w:val="17"/>
                <w:szCs w:val="17"/>
              </w:rPr>
            </w:pPr>
            <w:r w:rsidRPr="0055417C">
              <w:rPr>
                <w:rFonts w:ascii="Verdana" w:hAnsi="Verdana"/>
                <w:sz w:val="17"/>
                <w:szCs w:val="17"/>
              </w:rPr>
              <w:t>3.5.</w:t>
            </w:r>
          </w:p>
          <w:p w14:paraId="516D11F8" w14:textId="77777777" w:rsidR="00256ABB" w:rsidRPr="0055417C" w:rsidRDefault="00256ABB" w:rsidP="00256ABB">
            <w:pPr>
              <w:rPr>
                <w:rFonts w:ascii="Verdana" w:hAnsi="Verdana"/>
                <w:sz w:val="17"/>
                <w:szCs w:val="17"/>
              </w:rPr>
            </w:pPr>
            <w:r w:rsidRPr="0055417C">
              <w:rPr>
                <w:rFonts w:ascii="Verdana" w:hAnsi="Verdana"/>
                <w:sz w:val="17"/>
                <w:szCs w:val="17"/>
              </w:rPr>
              <w:t>Prix.</w:t>
            </w:r>
          </w:p>
          <w:p w14:paraId="0B6A7918" w14:textId="391A561D" w:rsidR="00256ABB" w:rsidRPr="0055417C" w:rsidRDefault="00256ABB" w:rsidP="00256ABB">
            <w:pPr>
              <w:rPr>
                <w:rFonts w:ascii="Verdana" w:hAnsi="Verdana"/>
                <w:sz w:val="17"/>
                <w:szCs w:val="17"/>
              </w:rPr>
            </w:pPr>
            <w:r w:rsidRPr="0055417C">
              <w:rPr>
                <w:rFonts w:ascii="Verdana" w:hAnsi="Verdana"/>
                <w:sz w:val="17"/>
                <w:szCs w:val="17"/>
              </w:rPr>
              <w:t xml:space="preserve">Les Produits auront les prix indiqués dans la liste de prix de </w:t>
            </w:r>
            <w:r w:rsidR="00EA5844" w:rsidRPr="0055417C">
              <w:rPr>
                <w:rFonts w:ascii="Verdana" w:eastAsia="Times New Roman" w:hAnsi="Verdana" w:cs="Times New Roman"/>
                <w:color w:val="1F1E1D"/>
                <w:sz w:val="17"/>
                <w:szCs w:val="17"/>
              </w:rPr>
              <w:t xml:space="preserve">XXX </w:t>
            </w:r>
            <w:r w:rsidRPr="0055417C">
              <w:rPr>
                <w:rFonts w:ascii="Verdana" w:hAnsi="Verdana"/>
                <w:sz w:val="17"/>
                <w:szCs w:val="17"/>
              </w:rPr>
              <w:t>en vigueur à la date de l’ordre d’achat respectif.</w:t>
            </w:r>
            <w:r w:rsidR="0075035B" w:rsidRPr="0055417C">
              <w:rPr>
                <w:rFonts w:ascii="Verdana" w:hAnsi="Verdana"/>
                <w:sz w:val="17"/>
                <w:szCs w:val="17"/>
              </w:rPr>
              <w:br/>
            </w:r>
            <w:r w:rsidRPr="0055417C">
              <w:rPr>
                <w:rFonts w:ascii="Verdana" w:hAnsi="Verdana"/>
                <w:sz w:val="17"/>
                <w:szCs w:val="17"/>
              </w:rPr>
              <w:t xml:space="preserve">Pour servir de référence, la liste de prix en vigueur lors de la souscription du Contrat est incluse dans l’Annexe C, en restant convenu que ladite liste peut varier et, </w:t>
            </w:r>
            <w:r w:rsidRPr="0055417C">
              <w:rPr>
                <w:rFonts w:ascii="Verdana" w:hAnsi="Verdana"/>
                <w:sz w:val="17"/>
                <w:szCs w:val="17"/>
              </w:rPr>
              <w:lastRenderedPageBreak/>
              <w:t xml:space="preserve">conséquemment, subir des modifications pendant la validité du Contrat. </w:t>
            </w:r>
          </w:p>
          <w:p w14:paraId="0EB4531B" w14:textId="77777777" w:rsidR="00256ABB" w:rsidRPr="0055417C" w:rsidRDefault="00256ABB" w:rsidP="00256ABB">
            <w:pPr>
              <w:rPr>
                <w:rFonts w:ascii="Verdana" w:hAnsi="Verdana"/>
                <w:sz w:val="17"/>
                <w:szCs w:val="17"/>
              </w:rPr>
            </w:pPr>
            <w:r w:rsidRPr="0055417C">
              <w:rPr>
                <w:rFonts w:ascii="Verdana" w:hAnsi="Verdana"/>
                <w:sz w:val="17"/>
                <w:szCs w:val="17"/>
              </w:rPr>
              <w:t>3.6.</w:t>
            </w:r>
          </w:p>
          <w:p w14:paraId="36E4EDEE" w14:textId="77777777" w:rsidR="00256ABB" w:rsidRPr="0055417C" w:rsidRDefault="00256ABB" w:rsidP="00256ABB">
            <w:pPr>
              <w:rPr>
                <w:rFonts w:ascii="Verdana" w:hAnsi="Verdana"/>
                <w:sz w:val="17"/>
                <w:szCs w:val="17"/>
              </w:rPr>
            </w:pPr>
            <w:r w:rsidRPr="0055417C">
              <w:rPr>
                <w:rFonts w:ascii="Verdana" w:hAnsi="Verdana"/>
                <w:sz w:val="17"/>
                <w:szCs w:val="17"/>
              </w:rPr>
              <w:t>Forme de paiement.</w:t>
            </w:r>
          </w:p>
          <w:p w14:paraId="07888301" w14:textId="77777777" w:rsidR="00256ABB" w:rsidRPr="0055417C" w:rsidRDefault="00256ABB" w:rsidP="00256ABB">
            <w:pPr>
              <w:rPr>
                <w:rFonts w:ascii="Verdana" w:hAnsi="Verdana"/>
                <w:sz w:val="17"/>
                <w:szCs w:val="17"/>
              </w:rPr>
            </w:pPr>
            <w:r w:rsidRPr="0055417C">
              <w:rPr>
                <w:rFonts w:ascii="Verdana" w:hAnsi="Verdana"/>
                <w:sz w:val="17"/>
                <w:szCs w:val="17"/>
              </w:rPr>
              <w:t>Les conditions applicables au paiement du prix des Produits sont établies dans l’Annexe D. Les paiements devront se faire sans nulle compensation, déduction ou rétention de quelque nature que ce soit.</w:t>
            </w:r>
          </w:p>
          <w:p w14:paraId="1B16720A" w14:textId="413F5D54" w:rsidR="00256ABB" w:rsidRPr="0055417C" w:rsidRDefault="00256ABB" w:rsidP="00256ABB">
            <w:pPr>
              <w:rPr>
                <w:rFonts w:ascii="Verdana" w:hAnsi="Verdana"/>
                <w:sz w:val="17"/>
                <w:szCs w:val="17"/>
              </w:rPr>
            </w:pPr>
            <w:r w:rsidRPr="0055417C">
              <w:rPr>
                <w:rFonts w:ascii="Verdana" w:hAnsi="Verdana"/>
                <w:sz w:val="17"/>
                <w:szCs w:val="17"/>
              </w:rPr>
              <w:t xml:space="preserve">Si </w:t>
            </w:r>
            <w:r w:rsidR="00EA5844" w:rsidRPr="0055417C">
              <w:rPr>
                <w:rFonts w:ascii="Verdana" w:eastAsia="Times New Roman" w:hAnsi="Verdana" w:cs="Times New Roman"/>
                <w:color w:val="1F1E1D"/>
                <w:sz w:val="17"/>
                <w:szCs w:val="17"/>
              </w:rPr>
              <w:t xml:space="preserve">XXX </w:t>
            </w:r>
            <w:r w:rsidRPr="0055417C">
              <w:rPr>
                <w:rFonts w:ascii="Verdana" w:hAnsi="Verdana"/>
                <w:sz w:val="17"/>
                <w:szCs w:val="17"/>
              </w:rPr>
              <w:t xml:space="preserve">ne reçoit pas le paiement conformément à la méthode accordée et dans la date stipulée, sans préjudice de tout autre droit ou faculté résolutoire, </w:t>
            </w:r>
            <w:r w:rsidR="00EA5844" w:rsidRPr="0055417C">
              <w:rPr>
                <w:rFonts w:ascii="Verdana" w:eastAsia="Times New Roman" w:hAnsi="Verdana" w:cs="Times New Roman"/>
                <w:color w:val="1F1E1D"/>
                <w:sz w:val="17"/>
                <w:szCs w:val="17"/>
              </w:rPr>
              <w:t xml:space="preserve">XXX </w:t>
            </w:r>
            <w:r w:rsidRPr="0055417C">
              <w:rPr>
                <w:rFonts w:ascii="Verdana" w:hAnsi="Verdana"/>
                <w:sz w:val="17"/>
                <w:szCs w:val="17"/>
              </w:rPr>
              <w:t>a le droit de:</w:t>
            </w:r>
          </w:p>
          <w:p w14:paraId="4721B7B5" w14:textId="77777777" w:rsidR="00256ABB" w:rsidRPr="0055417C" w:rsidRDefault="00256ABB" w:rsidP="00256ABB">
            <w:pPr>
              <w:rPr>
                <w:rFonts w:ascii="Verdana" w:hAnsi="Verdana"/>
                <w:sz w:val="17"/>
                <w:szCs w:val="17"/>
              </w:rPr>
            </w:pPr>
            <w:r w:rsidRPr="0055417C">
              <w:rPr>
                <w:rFonts w:ascii="Verdana" w:hAnsi="Verdana"/>
                <w:sz w:val="17"/>
                <w:szCs w:val="17"/>
              </w:rPr>
              <w:t>(a)</w:t>
            </w:r>
            <w:r w:rsidRPr="0055417C">
              <w:rPr>
                <w:rFonts w:ascii="Verdana" w:hAnsi="Verdana"/>
                <w:sz w:val="17"/>
                <w:szCs w:val="17"/>
              </w:rPr>
              <w:tab/>
              <w:t>suspendre toute livraison de Produits et/ou annuler des ordres de Produits effectués et/ou rejeter de nouveaux ordres de Produits;</w:t>
            </w:r>
          </w:p>
          <w:p w14:paraId="73917EEE" w14:textId="2049FF42" w:rsidR="00256ABB" w:rsidRPr="0055417C" w:rsidRDefault="00256ABB" w:rsidP="00256ABB">
            <w:pPr>
              <w:rPr>
                <w:rFonts w:ascii="Verdana" w:hAnsi="Verdana"/>
                <w:sz w:val="17"/>
                <w:szCs w:val="17"/>
              </w:rPr>
            </w:pPr>
            <w:r w:rsidRPr="0055417C">
              <w:rPr>
                <w:rFonts w:ascii="Verdana" w:hAnsi="Verdana"/>
                <w:sz w:val="17"/>
                <w:szCs w:val="17"/>
              </w:rPr>
              <w:t>(b)</w:t>
            </w:r>
            <w:r w:rsidRPr="0055417C">
              <w:rPr>
                <w:rFonts w:ascii="Verdana" w:hAnsi="Verdana"/>
                <w:sz w:val="17"/>
                <w:szCs w:val="17"/>
              </w:rPr>
              <w:tab/>
              <w:t xml:space="preserve">appliquer, à la discrétion de </w:t>
            </w:r>
            <w:r w:rsidR="00EA5844" w:rsidRPr="0055417C">
              <w:rPr>
                <w:rFonts w:ascii="Verdana" w:eastAsia="Times New Roman" w:hAnsi="Verdana" w:cs="Times New Roman"/>
                <w:color w:val="1F1E1D"/>
                <w:sz w:val="17"/>
                <w:szCs w:val="17"/>
              </w:rPr>
              <w:t>XXX</w:t>
            </w:r>
            <w:r w:rsidRPr="0055417C">
              <w:rPr>
                <w:rFonts w:ascii="Verdana" w:hAnsi="Verdana"/>
                <w:sz w:val="17"/>
                <w:szCs w:val="17"/>
              </w:rPr>
              <w:t>, tout paiement reçu en relation avec les Produits livrés, ainsi que de retenir et compenser toute somme qu’elle doive au Distributeur, en exécution du présent Contrat, avec quelque somme que ce dernier lui doive à son tour;</w:t>
            </w:r>
          </w:p>
          <w:p w14:paraId="2FBF6B0C" w14:textId="77777777" w:rsidR="00256ABB" w:rsidRPr="0055417C" w:rsidRDefault="00256ABB" w:rsidP="00256ABB">
            <w:pPr>
              <w:rPr>
                <w:rFonts w:ascii="Verdana" w:hAnsi="Verdana"/>
                <w:sz w:val="17"/>
                <w:szCs w:val="17"/>
              </w:rPr>
            </w:pPr>
            <w:r w:rsidRPr="0055417C">
              <w:rPr>
                <w:rFonts w:ascii="Verdana" w:hAnsi="Verdana"/>
                <w:sz w:val="17"/>
                <w:szCs w:val="17"/>
              </w:rPr>
              <w:t>(c)</w:t>
            </w:r>
            <w:r w:rsidRPr="0055417C">
              <w:rPr>
                <w:rFonts w:ascii="Verdana" w:hAnsi="Verdana"/>
                <w:sz w:val="17"/>
                <w:szCs w:val="17"/>
              </w:rPr>
              <w:tab/>
              <w:t>percevoir des intérêts sur les montants à payer, cumulés et calculés par jour au taux d’intérêt indiqué dans l’Annexe D, pendant la période comprise entre le jour suivant la date d’échéance du paiement et jusqu’à la date, inclusivement, où le paiement soit effectivement fait.</w:t>
            </w:r>
            <w:r w:rsidRPr="0055417C">
              <w:rPr>
                <w:rFonts w:ascii="Verdana" w:hAnsi="Verdana"/>
                <w:sz w:val="17"/>
                <w:szCs w:val="17"/>
              </w:rPr>
              <w:tab/>
            </w:r>
          </w:p>
          <w:p w14:paraId="5D7A6521" w14:textId="77777777" w:rsidR="00256ABB" w:rsidRPr="0055417C" w:rsidRDefault="00256ABB" w:rsidP="00256ABB">
            <w:pPr>
              <w:rPr>
                <w:rFonts w:ascii="Verdana" w:hAnsi="Verdana"/>
                <w:sz w:val="17"/>
                <w:szCs w:val="17"/>
              </w:rPr>
            </w:pPr>
            <w:r w:rsidRPr="0055417C">
              <w:rPr>
                <w:rFonts w:ascii="Verdana" w:hAnsi="Verdana"/>
                <w:sz w:val="17"/>
                <w:szCs w:val="17"/>
              </w:rPr>
              <w:t xml:space="preserve">Les intérêts sont calculés par mois, capitalisés par semestre et payables sur demande. </w:t>
            </w:r>
          </w:p>
          <w:p w14:paraId="22360476" w14:textId="3B867E8D" w:rsidR="00256ABB" w:rsidRPr="0055417C" w:rsidRDefault="00256ABB" w:rsidP="00256ABB">
            <w:pPr>
              <w:spacing w:before="75" w:after="0" w:line="240" w:lineRule="auto"/>
              <w:rPr>
                <w:rFonts w:ascii="Verdana" w:eastAsia="Times New Roman" w:hAnsi="Verdana" w:cs="Times New Roman"/>
                <w:color w:val="1F1E1D"/>
                <w:sz w:val="17"/>
                <w:szCs w:val="17"/>
              </w:rPr>
            </w:pPr>
            <w:r w:rsidRPr="0055417C">
              <w:rPr>
                <w:rFonts w:ascii="Verdana" w:hAnsi="Verdana"/>
                <w:sz w:val="17"/>
                <w:szCs w:val="17"/>
              </w:rPr>
              <w:t>À l’échéance du délai de paiement la mise en demeure est automatique; nulle interpellation n'est requise.</w:t>
            </w:r>
          </w:p>
        </w:tc>
      </w:tr>
      <w:bookmarkEnd w:id="0"/>
    </w:tbl>
    <w:p w14:paraId="0D167F28" w14:textId="6B399C0C" w:rsidR="00256ABB" w:rsidRDefault="00256ABB"/>
    <w:p w14:paraId="3B5D9EA6" w14:textId="138DA862" w:rsidR="0055417C" w:rsidRPr="003D53E3" w:rsidRDefault="0055417C" w:rsidP="0055417C">
      <w:pPr>
        <w:jc w:val="both"/>
        <w:rPr>
          <w:rFonts w:ascii="Book Antiqua" w:hAnsi="Book Antiqua"/>
          <w:b/>
          <w:bCs/>
          <w:i/>
          <w:sz w:val="32"/>
          <w:szCs w:val="32"/>
        </w:rPr>
      </w:pPr>
      <w:r w:rsidRPr="003D53E3">
        <w:rPr>
          <w:rFonts w:ascii="Book Antiqua" w:hAnsi="Book Antiqua"/>
          <w:b/>
          <w:bCs/>
          <w:i/>
          <w:sz w:val="32"/>
          <w:szCs w:val="32"/>
        </w:rPr>
        <w:t>Istruzioni di uso e sicurezza – Instrucciones de uso y seguridad</w:t>
      </w:r>
    </w:p>
    <w:tbl>
      <w:tblPr>
        <w:tblW w:w="5162" w:type="pct"/>
        <w:tblCellSpacing w:w="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F7F1"/>
        <w:tblCellMar>
          <w:top w:w="45" w:type="dxa"/>
          <w:left w:w="45" w:type="dxa"/>
          <w:bottom w:w="45" w:type="dxa"/>
          <w:right w:w="45" w:type="dxa"/>
        </w:tblCellMar>
        <w:tblLook w:val="04A0" w:firstRow="1" w:lastRow="0" w:firstColumn="1" w:lastColumn="0" w:noHBand="0" w:noVBand="1"/>
      </w:tblPr>
      <w:tblGrid>
        <w:gridCol w:w="4464"/>
        <w:gridCol w:w="4892"/>
      </w:tblGrid>
      <w:tr w:rsidR="0055417C" w:rsidRPr="003D53E3" w14:paraId="15938B8B" w14:textId="77777777" w:rsidTr="0079581E">
        <w:trPr>
          <w:tblCellSpacing w:w="7" w:type="dxa"/>
        </w:trPr>
        <w:tc>
          <w:tcPr>
            <w:tcW w:w="2374" w:type="pct"/>
            <w:shd w:val="clear" w:color="auto" w:fill="F8F7F1"/>
            <w:hideMark/>
          </w:tcPr>
          <w:p w14:paraId="2AFF5D58" w14:textId="77777777" w:rsidR="0055417C" w:rsidRPr="003D53E3" w:rsidRDefault="0055417C" w:rsidP="0055417C">
            <w:pPr>
              <w:spacing w:before="75" w:after="0" w:line="240" w:lineRule="auto"/>
              <w:rPr>
                <w:rFonts w:ascii="Verdana" w:eastAsia="Times New Roman" w:hAnsi="Verdana" w:cs="Times New Roman"/>
                <w:color w:val="1F1E1D"/>
                <w:sz w:val="17"/>
                <w:szCs w:val="17"/>
              </w:rPr>
            </w:pPr>
            <w:r w:rsidRPr="003D53E3">
              <w:rPr>
                <w:rFonts w:ascii="Verdana" w:eastAsia="Times New Roman" w:hAnsi="Verdana" w:cs="Times New Roman"/>
                <w:b/>
                <w:bCs/>
                <w:color w:val="1F1E1D"/>
                <w:sz w:val="17"/>
                <w:szCs w:val="17"/>
              </w:rPr>
              <w:t>Source text - Italian</w:t>
            </w:r>
            <w:r w:rsidRPr="003D53E3">
              <w:rPr>
                <w:rFonts w:ascii="Verdana" w:eastAsia="Times New Roman" w:hAnsi="Verdana" w:cs="Times New Roman"/>
                <w:color w:val="1F1E1D"/>
                <w:sz w:val="17"/>
                <w:szCs w:val="17"/>
              </w:rPr>
              <w:br/>
              <w:t>Il coagulatore cilindrico è stato realizzato per la trasformazione del latte vaccino oppure ovino secondo criteri progettuali e costruttivi capaci di ottimizzare resa e qualità del prodotto e di garantire una sempre maggiore sanificabilità e affidabilità.</w:t>
            </w:r>
          </w:p>
          <w:p w14:paraId="21ACC686" w14:textId="77777777" w:rsidR="0055417C" w:rsidRPr="003D53E3" w:rsidRDefault="0055417C" w:rsidP="0055417C">
            <w:pPr>
              <w:spacing w:before="75" w:after="0" w:line="240" w:lineRule="auto"/>
              <w:rPr>
                <w:rFonts w:ascii="Verdana" w:eastAsia="Times New Roman" w:hAnsi="Verdana" w:cs="Times New Roman"/>
                <w:color w:val="1F1E1D"/>
                <w:sz w:val="17"/>
                <w:szCs w:val="17"/>
              </w:rPr>
            </w:pPr>
            <w:r w:rsidRPr="003D53E3">
              <w:rPr>
                <w:rFonts w:ascii="Verdana" w:eastAsia="Times New Roman" w:hAnsi="Verdana" w:cs="Times New Roman"/>
                <w:color w:val="1F1E1D"/>
                <w:sz w:val="17"/>
                <w:szCs w:val="17"/>
              </w:rPr>
              <w:t>Si possono ottenere indifferentemente cagliate per paste filate (mozzarella, pizza-cheese, provolone, ecc.), per formaggi freschi o per formaggi stagionati tipo pecorino e caciotta.</w:t>
            </w:r>
          </w:p>
          <w:p w14:paraId="7C48B614" w14:textId="77777777" w:rsidR="0055417C" w:rsidRPr="003D53E3" w:rsidRDefault="0055417C" w:rsidP="0055417C">
            <w:pPr>
              <w:spacing w:before="75" w:after="0" w:line="240" w:lineRule="auto"/>
              <w:rPr>
                <w:rFonts w:ascii="Verdana" w:eastAsia="Times New Roman" w:hAnsi="Verdana" w:cs="Times New Roman"/>
                <w:color w:val="1F1E1D"/>
                <w:sz w:val="17"/>
                <w:szCs w:val="17"/>
              </w:rPr>
            </w:pPr>
            <w:r w:rsidRPr="003D53E3">
              <w:rPr>
                <w:rFonts w:ascii="Verdana" w:eastAsia="Times New Roman" w:hAnsi="Verdana" w:cs="Times New Roman"/>
                <w:color w:val="1F1E1D"/>
                <w:sz w:val="17"/>
                <w:szCs w:val="17"/>
              </w:rPr>
              <w:t>La macchina è costituita da una vasca cilindrica a sezione circolare, disposta con l’asse longitudinale in posizione orizzontale, fissata su quattro robusti sostegni in acciaio inossidabile; la parte inferiore della vasca, dotata di intercapedine riscaldata a vapore, è inclinata verso lo scarico; quest’ultimo è costituito da una valvola pneumatica on-off DN125 utilizzata per lo scarico della cagliata e delle soluzioni di lavaggio.</w:t>
            </w:r>
          </w:p>
          <w:p w14:paraId="0C7E0E56" w14:textId="77777777" w:rsidR="0055417C" w:rsidRPr="003D53E3" w:rsidRDefault="0055417C" w:rsidP="0055417C">
            <w:pPr>
              <w:spacing w:before="75" w:after="0" w:line="240" w:lineRule="auto"/>
              <w:rPr>
                <w:rFonts w:ascii="Verdana" w:eastAsia="Times New Roman" w:hAnsi="Verdana" w:cs="Times New Roman"/>
                <w:color w:val="1F1E1D"/>
                <w:sz w:val="17"/>
                <w:szCs w:val="17"/>
              </w:rPr>
            </w:pPr>
            <w:r w:rsidRPr="003D53E3">
              <w:rPr>
                <w:rFonts w:ascii="Verdana" w:eastAsia="Times New Roman" w:hAnsi="Verdana" w:cs="Times New Roman"/>
                <w:color w:val="1F1E1D"/>
                <w:sz w:val="17"/>
                <w:szCs w:val="17"/>
              </w:rPr>
              <w:lastRenderedPageBreak/>
              <w:t>Ai lati della vasca, sulle due piastre di fondo sagomate con leggera bombatura, è imperniata la lira frangicagliata teflonata o decappata ad asse orizzontale costituita da una serie di lame inclinate e da agitatori bilanciati che garantiscono il rimescolamento omogeneo e il taglio della cagliata nella pezzatura desiderata;</w:t>
            </w:r>
          </w:p>
          <w:p w14:paraId="5AF8B077" w14:textId="77777777" w:rsidR="0055417C" w:rsidRPr="003D53E3" w:rsidRDefault="0055417C" w:rsidP="0055417C">
            <w:pPr>
              <w:spacing w:before="75" w:after="0" w:line="240" w:lineRule="auto"/>
              <w:rPr>
                <w:rFonts w:ascii="Verdana" w:eastAsia="Times New Roman" w:hAnsi="Verdana" w:cs="Times New Roman"/>
                <w:color w:val="1F1E1D"/>
                <w:sz w:val="17"/>
                <w:szCs w:val="17"/>
              </w:rPr>
            </w:pPr>
            <w:r w:rsidRPr="003D53E3">
              <w:rPr>
                <w:rFonts w:ascii="Verdana" w:eastAsia="Times New Roman" w:hAnsi="Verdana" w:cs="Times New Roman"/>
                <w:color w:val="1F1E1D"/>
                <w:sz w:val="17"/>
                <w:szCs w:val="17"/>
              </w:rPr>
              <w:t>le particolari caratteristiche costruttive della lira frangicagliata, unite alla geometria della vasca consentono di ottimizzare alcune fasi del processo tecnologico di coagulazione e maturazione della cagliata:</w:t>
            </w:r>
          </w:p>
          <w:p w14:paraId="11969A0D" w14:textId="77777777" w:rsidR="0055417C" w:rsidRPr="003D53E3" w:rsidRDefault="0055417C" w:rsidP="0055417C">
            <w:pPr>
              <w:spacing w:before="75" w:after="0" w:line="240" w:lineRule="auto"/>
              <w:rPr>
                <w:rFonts w:ascii="Verdana" w:eastAsia="Times New Roman" w:hAnsi="Verdana" w:cs="Times New Roman"/>
                <w:color w:val="1F1E1D"/>
                <w:sz w:val="17"/>
                <w:szCs w:val="17"/>
              </w:rPr>
            </w:pPr>
            <w:r w:rsidRPr="003D53E3">
              <w:rPr>
                <w:rFonts w:ascii="Verdana" w:eastAsia="Times New Roman" w:hAnsi="Verdana" w:cs="Times New Roman"/>
                <w:color w:val="1F1E1D"/>
                <w:sz w:val="17"/>
                <w:szCs w:val="17"/>
              </w:rPr>
              <w:t>mescolamento omogeneo di latte, fermenti e caglio:</w:t>
            </w:r>
          </w:p>
          <w:p w14:paraId="59A0AFE0" w14:textId="77777777" w:rsidR="0055417C" w:rsidRPr="003D53E3" w:rsidRDefault="0055417C" w:rsidP="0055417C">
            <w:pPr>
              <w:spacing w:before="75" w:after="0" w:line="240" w:lineRule="auto"/>
              <w:rPr>
                <w:rFonts w:ascii="Verdana" w:eastAsia="Times New Roman" w:hAnsi="Verdana" w:cs="Times New Roman"/>
                <w:color w:val="1F1E1D"/>
                <w:sz w:val="17"/>
                <w:szCs w:val="17"/>
              </w:rPr>
            </w:pPr>
            <w:r w:rsidRPr="003D53E3">
              <w:rPr>
                <w:rFonts w:ascii="Verdana" w:eastAsia="Times New Roman" w:hAnsi="Verdana" w:cs="Times New Roman"/>
                <w:color w:val="1F1E1D"/>
                <w:sz w:val="17"/>
                <w:szCs w:val="17"/>
              </w:rPr>
              <w:t>durante la fase di carico del latte e immissione di fermenti (o acido citrico) e caglio, la lira frangicagliata ruota in modo che ad ogni giro investe la totalità della massa in lavorazione che rimane quindi sottoposta a due moti combinati: un moto assiale impartito dagli agitatori bilanciati ed un moto radiale impartito dalla rotazione della lira stessa, per cui non ci sono zone a rimescolamento ridotto</w:t>
            </w:r>
          </w:p>
          <w:p w14:paraId="04880556" w14:textId="77777777" w:rsidR="0055417C" w:rsidRPr="003D53E3" w:rsidRDefault="0055417C" w:rsidP="0055417C">
            <w:pPr>
              <w:spacing w:before="75" w:after="0" w:line="240" w:lineRule="auto"/>
              <w:rPr>
                <w:rFonts w:ascii="Verdana" w:eastAsia="Times New Roman" w:hAnsi="Verdana" w:cs="Times New Roman"/>
                <w:color w:val="1F1E1D"/>
                <w:sz w:val="17"/>
                <w:szCs w:val="17"/>
              </w:rPr>
            </w:pPr>
            <w:r w:rsidRPr="003D53E3">
              <w:rPr>
                <w:rFonts w:ascii="Verdana" w:eastAsia="Times New Roman" w:hAnsi="Verdana" w:cs="Times New Roman"/>
                <w:color w:val="1F1E1D"/>
                <w:sz w:val="17"/>
                <w:szCs w:val="17"/>
              </w:rPr>
              <w:t>ottimizzazione dello spurgo della cagliata:</w:t>
            </w:r>
          </w:p>
          <w:p w14:paraId="7141695D" w14:textId="77777777" w:rsidR="0055417C" w:rsidRPr="003D53E3" w:rsidRDefault="0055417C" w:rsidP="0055417C">
            <w:pPr>
              <w:spacing w:before="75" w:after="0" w:line="240" w:lineRule="auto"/>
              <w:rPr>
                <w:rFonts w:ascii="Verdana" w:eastAsia="Times New Roman" w:hAnsi="Verdana" w:cs="Times New Roman"/>
                <w:color w:val="1F1E1D"/>
                <w:sz w:val="17"/>
                <w:szCs w:val="17"/>
              </w:rPr>
            </w:pPr>
            <w:r w:rsidRPr="003D53E3">
              <w:rPr>
                <w:rFonts w:ascii="Verdana" w:eastAsia="Times New Roman" w:hAnsi="Verdana" w:cs="Times New Roman"/>
                <w:color w:val="1F1E1D"/>
                <w:sz w:val="17"/>
                <w:szCs w:val="17"/>
              </w:rPr>
              <w:t>nella fase di rimescolamento della cagliata dopo il taglio, la lira ruotando trascina con sé i grani che vengono obbligati, per effetto del movimento radiale prima descritto, a transitare più volte dal fondo alla superficie della vasca, ossia in punti a differente pressione; questo effetto consente uno spurgo estremamente efficiente</w:t>
            </w:r>
          </w:p>
          <w:p w14:paraId="75740CAB" w14:textId="77777777" w:rsidR="0055417C" w:rsidRPr="003D53E3" w:rsidRDefault="0055417C" w:rsidP="0055417C">
            <w:pPr>
              <w:spacing w:before="75" w:after="0" w:line="240" w:lineRule="auto"/>
              <w:rPr>
                <w:rFonts w:ascii="Verdana" w:eastAsia="Times New Roman" w:hAnsi="Verdana" w:cs="Times New Roman"/>
                <w:color w:val="1F1E1D"/>
                <w:sz w:val="17"/>
                <w:szCs w:val="17"/>
              </w:rPr>
            </w:pPr>
            <w:r w:rsidRPr="003D53E3">
              <w:rPr>
                <w:rFonts w:ascii="Verdana" w:eastAsia="Times New Roman" w:hAnsi="Verdana" w:cs="Times New Roman"/>
                <w:color w:val="1F1E1D"/>
                <w:sz w:val="17"/>
                <w:szCs w:val="17"/>
              </w:rPr>
              <w:t>flessibilità del processo tecnologico grazie alla possibilità di effettuare lavorazioni con fermenti lattici, acido citrico o lavorazioni miste (fermenti + citrico)</w:t>
            </w:r>
          </w:p>
          <w:p w14:paraId="0016EDF1" w14:textId="77777777" w:rsidR="0055417C" w:rsidRPr="003D53E3" w:rsidRDefault="0055417C" w:rsidP="0055417C">
            <w:pPr>
              <w:spacing w:before="75" w:after="0" w:line="240" w:lineRule="auto"/>
              <w:rPr>
                <w:rFonts w:ascii="Verdana" w:eastAsia="Times New Roman" w:hAnsi="Verdana" w:cs="Times New Roman"/>
                <w:color w:val="1F1E1D"/>
                <w:sz w:val="17"/>
                <w:szCs w:val="17"/>
              </w:rPr>
            </w:pPr>
            <w:r w:rsidRPr="003D53E3">
              <w:rPr>
                <w:rFonts w:ascii="Verdana" w:eastAsia="Times New Roman" w:hAnsi="Verdana" w:cs="Times New Roman"/>
                <w:color w:val="1F1E1D"/>
                <w:sz w:val="17"/>
                <w:szCs w:val="17"/>
              </w:rPr>
              <w:t>La lira frangicagliata è azionata da attuatori elettromeccanici (motore elettrico e riduttore meccanico) gestiti con inverter in modo da ottenere la esatta dimensione del grano di cagliata; l’albero portalira è montato su speciali supporti in acciaio su cui fanno tenuta due guarnizioni meccaniche, a  barriera d'acqua per garantire la separazione perfetta fra la parte motrice e la zona di lavoro; in un apposito spazio ricavato nella tenuta fluisce acqua erogata attraverso una elettrovalvola solo quando la lira è in movimento.</w:t>
            </w:r>
          </w:p>
          <w:p w14:paraId="0AB2E6BC" w14:textId="77777777" w:rsidR="0055417C" w:rsidRPr="003D53E3" w:rsidRDefault="0055417C" w:rsidP="0055417C">
            <w:pPr>
              <w:spacing w:before="75" w:after="0" w:line="240" w:lineRule="auto"/>
              <w:rPr>
                <w:rFonts w:ascii="Verdana" w:eastAsia="Times New Roman" w:hAnsi="Verdana" w:cs="Times New Roman"/>
                <w:color w:val="1F1E1D"/>
                <w:sz w:val="17"/>
                <w:szCs w:val="17"/>
              </w:rPr>
            </w:pPr>
            <w:r w:rsidRPr="003D53E3">
              <w:rPr>
                <w:rFonts w:ascii="Verdana" w:eastAsia="Times New Roman" w:hAnsi="Verdana" w:cs="Times New Roman"/>
                <w:color w:val="1F1E1D"/>
                <w:sz w:val="17"/>
                <w:szCs w:val="17"/>
              </w:rPr>
              <w:t>In alternativa è possibile collegare il circuito di flussaggio delle tenute al circuito di lavaggio C.I.P.</w:t>
            </w:r>
          </w:p>
          <w:p w14:paraId="0C4A65E9" w14:textId="77777777" w:rsidR="0055417C" w:rsidRPr="003D53E3" w:rsidRDefault="0055417C" w:rsidP="0055417C">
            <w:pPr>
              <w:spacing w:before="75" w:after="0" w:line="240" w:lineRule="auto"/>
              <w:rPr>
                <w:rFonts w:ascii="Verdana" w:eastAsia="Times New Roman" w:hAnsi="Verdana" w:cs="Times New Roman"/>
                <w:color w:val="1F1E1D"/>
                <w:sz w:val="17"/>
                <w:szCs w:val="17"/>
              </w:rPr>
            </w:pPr>
            <w:r w:rsidRPr="003D53E3">
              <w:rPr>
                <w:rFonts w:ascii="Verdana" w:eastAsia="Times New Roman" w:hAnsi="Verdana" w:cs="Times New Roman"/>
                <w:color w:val="1F1E1D"/>
                <w:sz w:val="17"/>
                <w:szCs w:val="17"/>
              </w:rPr>
              <w:t>La vasca di coagulazione reca nella parte superiore uno sportello dal quale l’operatore è in grado di visualizzare il ciclo di lavoro; sempre nella parte superiore è montata una speciale vaschetta per il dosaggio del caglio collegata ad una tubazione forata che distribuisce in modo omogeneo il caglio all’interno della vasca; il riempimento con latte viene effettuato attraverso apposita tubazione.</w:t>
            </w:r>
          </w:p>
          <w:p w14:paraId="1D3451D7" w14:textId="77777777" w:rsidR="0055417C" w:rsidRPr="003D53E3" w:rsidRDefault="0055417C" w:rsidP="0055417C">
            <w:pPr>
              <w:spacing w:before="75" w:after="0" w:line="240" w:lineRule="auto"/>
              <w:rPr>
                <w:rFonts w:ascii="Verdana" w:eastAsia="Times New Roman" w:hAnsi="Verdana" w:cs="Times New Roman"/>
                <w:color w:val="1F1E1D"/>
                <w:sz w:val="17"/>
                <w:szCs w:val="17"/>
              </w:rPr>
            </w:pPr>
            <w:r w:rsidRPr="003D53E3">
              <w:rPr>
                <w:rFonts w:ascii="Verdana" w:eastAsia="Times New Roman" w:hAnsi="Verdana" w:cs="Times New Roman"/>
                <w:color w:val="1F1E1D"/>
                <w:sz w:val="17"/>
                <w:szCs w:val="17"/>
              </w:rPr>
              <w:t xml:space="preserve">All'interno della vasca sono montate le tubazioni terminanti con turbine di lavaggio rotanti per il risciacquo a fine ciclo o la sanificazione automatica al termine della lavorazione; una </w:t>
            </w:r>
            <w:r w:rsidRPr="003D53E3">
              <w:rPr>
                <w:rFonts w:ascii="Verdana" w:eastAsia="Times New Roman" w:hAnsi="Verdana" w:cs="Times New Roman"/>
                <w:color w:val="1F1E1D"/>
                <w:sz w:val="17"/>
                <w:szCs w:val="17"/>
              </w:rPr>
              <w:lastRenderedPageBreak/>
              <w:t>turbina più piccola è disposta nella vaschetta di dosaggio del caglio.</w:t>
            </w:r>
          </w:p>
          <w:p w14:paraId="7B345D3E" w14:textId="77777777" w:rsidR="0055417C" w:rsidRPr="003D53E3" w:rsidRDefault="0055417C" w:rsidP="0055417C">
            <w:pPr>
              <w:spacing w:before="75" w:after="0" w:line="240" w:lineRule="auto"/>
              <w:rPr>
                <w:rFonts w:ascii="Verdana" w:eastAsia="Times New Roman" w:hAnsi="Verdana" w:cs="Times New Roman"/>
                <w:color w:val="1F1E1D"/>
                <w:sz w:val="17"/>
                <w:szCs w:val="17"/>
              </w:rPr>
            </w:pPr>
            <w:r w:rsidRPr="003D53E3">
              <w:rPr>
                <w:rFonts w:ascii="Verdana" w:eastAsia="Times New Roman" w:hAnsi="Verdana" w:cs="Times New Roman"/>
                <w:color w:val="1F1E1D"/>
                <w:sz w:val="17"/>
                <w:szCs w:val="17"/>
              </w:rPr>
              <w:t>Le soluzioni di lavaggio vengono evacuate dalla vasca tramite lo scarico DN25 dotato di valvola pneumatica on-off.</w:t>
            </w:r>
          </w:p>
          <w:p w14:paraId="22EA0DBC" w14:textId="77777777" w:rsidR="0055417C" w:rsidRPr="003D53E3" w:rsidRDefault="0055417C" w:rsidP="0055417C">
            <w:pPr>
              <w:spacing w:before="75" w:after="0" w:line="240" w:lineRule="auto"/>
              <w:rPr>
                <w:rFonts w:ascii="Verdana" w:eastAsia="Times New Roman" w:hAnsi="Verdana" w:cs="Times New Roman"/>
                <w:color w:val="1F1E1D"/>
                <w:sz w:val="17"/>
                <w:szCs w:val="17"/>
              </w:rPr>
            </w:pPr>
            <w:r w:rsidRPr="003D53E3">
              <w:rPr>
                <w:rFonts w:ascii="Verdana" w:eastAsia="Times New Roman" w:hAnsi="Verdana" w:cs="Times New Roman"/>
                <w:color w:val="1F1E1D"/>
                <w:sz w:val="17"/>
                <w:szCs w:val="17"/>
              </w:rPr>
              <w:t>La gestione della macchina (movimentazioni e cicli di cagliatura, tempi e velocità) viene effettuata tramite un controllore logico programmabile (PLC) dotato di un programma computerizzato sul quale possono essere memorizzati fino a 5 cicli di lavorazione.</w:t>
            </w:r>
          </w:p>
          <w:p w14:paraId="081DA2AB" w14:textId="77777777" w:rsidR="0055417C" w:rsidRPr="003D53E3" w:rsidRDefault="0055417C" w:rsidP="0055417C">
            <w:pPr>
              <w:spacing w:before="75" w:after="0" w:line="240" w:lineRule="auto"/>
              <w:rPr>
                <w:rFonts w:ascii="Verdana" w:eastAsia="Times New Roman" w:hAnsi="Verdana" w:cs="Times New Roman"/>
                <w:color w:val="1F1E1D"/>
                <w:sz w:val="17"/>
                <w:szCs w:val="17"/>
              </w:rPr>
            </w:pPr>
            <w:r w:rsidRPr="003D53E3">
              <w:rPr>
                <w:rFonts w:ascii="Verdana" w:eastAsia="Times New Roman" w:hAnsi="Verdana" w:cs="Times New Roman"/>
                <w:color w:val="1F1E1D"/>
                <w:sz w:val="17"/>
                <w:szCs w:val="17"/>
              </w:rPr>
              <w:t>Sul pannello di controllo, per mezzo di una tastiera configurabile si selezionano i vari menù di lavorazione; una stringa luminosa visualizza le fasi delle lavorazioni ed avverte l'operatore circa le operazioni da eseguire.</w:t>
            </w:r>
          </w:p>
          <w:p w14:paraId="3C78CD73" w14:textId="73F62487" w:rsidR="0055417C" w:rsidRPr="003D53E3" w:rsidRDefault="0055417C" w:rsidP="0055417C">
            <w:pPr>
              <w:spacing w:before="75" w:after="0" w:line="240" w:lineRule="auto"/>
              <w:rPr>
                <w:rFonts w:ascii="Verdana" w:hAnsi="Verdana"/>
                <w:sz w:val="17"/>
                <w:szCs w:val="17"/>
              </w:rPr>
            </w:pPr>
            <w:r w:rsidRPr="003D53E3">
              <w:rPr>
                <w:rFonts w:ascii="Verdana" w:eastAsia="Times New Roman" w:hAnsi="Verdana" w:cs="Times New Roman"/>
                <w:color w:val="1F1E1D"/>
                <w:sz w:val="17"/>
                <w:szCs w:val="17"/>
              </w:rPr>
              <w:t>L’operatore ha facile accesso al pannello di comando e allo sportello scorrevole posto nella parte superiore della vasca grazie ad una pedana con scaletta, dotata di mancorrenti e fermi al piede, realizzata in acciaio inossidabile con una speciale bugnatura antisdrucciolo.</w:t>
            </w:r>
          </w:p>
        </w:tc>
        <w:tc>
          <w:tcPr>
            <w:tcW w:w="2603" w:type="pct"/>
            <w:shd w:val="clear" w:color="auto" w:fill="F8F7F1"/>
            <w:hideMark/>
          </w:tcPr>
          <w:p w14:paraId="24A554A2" w14:textId="77777777" w:rsidR="0055417C" w:rsidRPr="003D53E3" w:rsidRDefault="0055417C" w:rsidP="0055417C">
            <w:pPr>
              <w:rPr>
                <w:rFonts w:ascii="Verdana" w:hAnsi="Verdana"/>
                <w:sz w:val="17"/>
                <w:szCs w:val="17"/>
              </w:rPr>
            </w:pPr>
            <w:r w:rsidRPr="003D53E3">
              <w:rPr>
                <w:rFonts w:ascii="Verdana" w:eastAsia="Times New Roman" w:hAnsi="Verdana" w:cs="Times New Roman"/>
                <w:b/>
                <w:bCs/>
                <w:color w:val="1F1E1D"/>
                <w:sz w:val="17"/>
                <w:szCs w:val="17"/>
              </w:rPr>
              <w:lastRenderedPageBreak/>
              <w:t>Translation - Spanish</w:t>
            </w:r>
            <w:r w:rsidRPr="003D53E3">
              <w:rPr>
                <w:rFonts w:ascii="Verdana" w:eastAsia="Times New Roman" w:hAnsi="Verdana" w:cs="Times New Roman"/>
                <w:color w:val="1F1E1D"/>
                <w:sz w:val="17"/>
                <w:szCs w:val="17"/>
              </w:rPr>
              <w:br/>
            </w:r>
            <w:r w:rsidRPr="003D53E3">
              <w:rPr>
                <w:rFonts w:ascii="Verdana" w:hAnsi="Verdana"/>
                <w:sz w:val="17"/>
                <w:szCs w:val="17"/>
              </w:rPr>
              <w:t>El coagulador cilíndrico fue diseñado para la transformación de leche vacuna u ovina según criterios de proyección y fabricación capaces de optimizar el rendimiento y la calidad del producto, y de garantizar una higiene y fiabilidad cada vez mayores.</w:t>
            </w:r>
          </w:p>
          <w:p w14:paraId="75AC903B" w14:textId="77777777" w:rsidR="0055417C" w:rsidRPr="003D53E3" w:rsidRDefault="0055417C" w:rsidP="0055417C">
            <w:pPr>
              <w:rPr>
                <w:rFonts w:ascii="Verdana" w:hAnsi="Verdana"/>
                <w:sz w:val="17"/>
                <w:szCs w:val="17"/>
              </w:rPr>
            </w:pPr>
            <w:r w:rsidRPr="003D53E3">
              <w:rPr>
                <w:rFonts w:ascii="Verdana" w:hAnsi="Verdana"/>
                <w:sz w:val="17"/>
                <w:szCs w:val="17"/>
              </w:rPr>
              <w:t>Puede obtenerse, indiferentemente, cuajada para pastas hiladas (mozzarella, pizza-cheese, provolone, etc.), quesos frescos o quesos estacionados, de tipo pecorino y caciotta.</w:t>
            </w:r>
          </w:p>
          <w:p w14:paraId="78262F47" w14:textId="77777777" w:rsidR="0055417C" w:rsidRPr="003D53E3" w:rsidRDefault="0055417C" w:rsidP="0055417C">
            <w:pPr>
              <w:rPr>
                <w:rFonts w:ascii="Verdana" w:hAnsi="Verdana"/>
                <w:sz w:val="17"/>
                <w:szCs w:val="17"/>
              </w:rPr>
            </w:pPr>
            <w:r w:rsidRPr="003D53E3">
              <w:rPr>
                <w:rFonts w:ascii="Verdana" w:hAnsi="Verdana"/>
                <w:sz w:val="17"/>
                <w:szCs w:val="17"/>
              </w:rPr>
              <w:t>La máquina se compone de una cuba cilíndrica de sección circular, dispuesta con el eje longitudinal en posición horizontal, fijada sobre cuatro robustos soportes de acero inoxidable; la parte inferior de la cuba, equipada con cámara calentada a vapor, está inclinada hacia la descarga; esta última consta de una válvula neumática ‘’on-off’’ DN125, útil a la descarga de la cuajada y las soluciones de lavado.</w:t>
            </w:r>
          </w:p>
          <w:p w14:paraId="08BB13A7" w14:textId="1D861801" w:rsidR="0055417C" w:rsidRPr="003D53E3" w:rsidRDefault="0055417C" w:rsidP="0055417C">
            <w:pPr>
              <w:rPr>
                <w:rFonts w:ascii="Verdana" w:hAnsi="Verdana"/>
                <w:sz w:val="17"/>
                <w:szCs w:val="17"/>
              </w:rPr>
            </w:pPr>
            <w:r w:rsidRPr="003D53E3">
              <w:rPr>
                <w:rFonts w:ascii="Verdana" w:hAnsi="Verdana"/>
                <w:sz w:val="17"/>
                <w:szCs w:val="17"/>
              </w:rPr>
              <w:lastRenderedPageBreak/>
              <w:t>A cada lado de la cuba, en las placas de fondo ligeramente bombeadas, está empernada la lira cortadora de cuajada teflonada o decapada de eje horizontal, compuesta de una serie de hojas inclinadas y agitadores balanceados que garantizan el mezclado homogéneo y el corte de la cuajada en el tamaño deseado; las características de fábrica particulares de la lira cortadora, junto a la geometría de la cuba, permiten optimizar algunas fases del proceso tecnológico de coagulación y maduración de la cuajada:</w:t>
            </w:r>
          </w:p>
          <w:p w14:paraId="0BED984E" w14:textId="77777777" w:rsidR="0055417C" w:rsidRPr="003D53E3" w:rsidRDefault="0055417C" w:rsidP="0055417C">
            <w:pPr>
              <w:rPr>
                <w:rFonts w:ascii="Verdana" w:hAnsi="Verdana"/>
                <w:sz w:val="17"/>
                <w:szCs w:val="17"/>
              </w:rPr>
            </w:pPr>
            <w:r w:rsidRPr="003D53E3">
              <w:rPr>
                <w:rFonts w:ascii="Verdana" w:hAnsi="Verdana"/>
                <w:sz w:val="17"/>
                <w:szCs w:val="17"/>
              </w:rPr>
              <w:t>mezclado homogéneo de leche, fermentos y cuajo:</w:t>
            </w:r>
          </w:p>
          <w:p w14:paraId="34F8A960" w14:textId="77777777" w:rsidR="0055417C" w:rsidRPr="003D53E3" w:rsidRDefault="0055417C" w:rsidP="0055417C">
            <w:pPr>
              <w:rPr>
                <w:rFonts w:ascii="Verdana" w:hAnsi="Verdana"/>
                <w:sz w:val="17"/>
                <w:szCs w:val="17"/>
              </w:rPr>
            </w:pPr>
            <w:r w:rsidRPr="003D53E3">
              <w:rPr>
                <w:rFonts w:ascii="Verdana" w:hAnsi="Verdana"/>
                <w:sz w:val="17"/>
                <w:szCs w:val="17"/>
              </w:rPr>
              <w:t>durante la fase de carga de la leche e introducción de fermentos (o ácido cítrico) y cuajo, la lira cortadora gira de manera que, con cada giro, embiste el total de la masa en elaboración, que, por ende, queda sometida a dos movimientos combinados: uno axial, impartido por los agitadores balanceados, y uno radial, impartido por la rotación de la lira misma, por lo que no hay zonas de mezclado reducido</w:t>
            </w:r>
          </w:p>
          <w:p w14:paraId="428694D4" w14:textId="77777777" w:rsidR="0055417C" w:rsidRPr="003D53E3" w:rsidRDefault="0055417C" w:rsidP="0055417C">
            <w:pPr>
              <w:rPr>
                <w:rFonts w:ascii="Verdana" w:hAnsi="Verdana"/>
                <w:sz w:val="17"/>
                <w:szCs w:val="17"/>
              </w:rPr>
            </w:pPr>
            <w:r w:rsidRPr="003D53E3">
              <w:rPr>
                <w:rFonts w:ascii="Verdana" w:hAnsi="Verdana"/>
                <w:sz w:val="17"/>
                <w:szCs w:val="17"/>
              </w:rPr>
              <w:t>optimización de la purga de la cuajada:</w:t>
            </w:r>
          </w:p>
          <w:p w14:paraId="40085166" w14:textId="77777777" w:rsidR="0055417C" w:rsidRPr="003D53E3" w:rsidRDefault="0055417C" w:rsidP="0055417C">
            <w:pPr>
              <w:rPr>
                <w:rFonts w:ascii="Verdana" w:hAnsi="Verdana"/>
                <w:sz w:val="17"/>
                <w:szCs w:val="17"/>
              </w:rPr>
            </w:pPr>
            <w:r w:rsidRPr="003D53E3">
              <w:rPr>
                <w:rFonts w:ascii="Verdana" w:hAnsi="Verdana"/>
                <w:sz w:val="17"/>
                <w:szCs w:val="17"/>
              </w:rPr>
              <w:t>en la fase de mezclado de la cuajada, luego del corte, la lira, al girar, arrastra consigo los granos, que se ven obligados, por el movimiento radial antes descripto, a transitar varias veces del fondo hacia la superficie de la cuba, es decir, por puntos de diferente presión; este efecto permite una purga extremadamente eficiente</w:t>
            </w:r>
          </w:p>
          <w:p w14:paraId="1A277B5E" w14:textId="77777777" w:rsidR="0055417C" w:rsidRPr="003D53E3" w:rsidRDefault="0055417C" w:rsidP="0055417C">
            <w:pPr>
              <w:rPr>
                <w:rFonts w:ascii="Verdana" w:hAnsi="Verdana"/>
                <w:sz w:val="17"/>
                <w:szCs w:val="17"/>
              </w:rPr>
            </w:pPr>
            <w:r w:rsidRPr="003D53E3">
              <w:rPr>
                <w:rFonts w:ascii="Verdana" w:hAnsi="Verdana"/>
                <w:sz w:val="17"/>
                <w:szCs w:val="17"/>
              </w:rPr>
              <w:t>flexibilidad del proceso tecnológico, gracias a la posibilidad de realizar elaboraciones con fermentos lácticos, ácido cítrico o elaboraciones mixtas (fermentos + cítrico)</w:t>
            </w:r>
          </w:p>
          <w:p w14:paraId="77B4794C" w14:textId="77777777" w:rsidR="0055417C" w:rsidRPr="003D53E3" w:rsidRDefault="0055417C" w:rsidP="0055417C">
            <w:pPr>
              <w:rPr>
                <w:rFonts w:ascii="Verdana" w:hAnsi="Verdana"/>
                <w:sz w:val="17"/>
                <w:szCs w:val="17"/>
              </w:rPr>
            </w:pPr>
            <w:r w:rsidRPr="003D53E3">
              <w:rPr>
                <w:rFonts w:ascii="Verdana" w:hAnsi="Verdana"/>
                <w:sz w:val="17"/>
                <w:szCs w:val="17"/>
              </w:rPr>
              <w:t>La lira cortadora es accionada por actuadores electromecánicos (motor eléctrico y reductor mecánico), gestionados por ‘’inverter’’, de modo que se obtenga la dimensión exacta del grano de cuajada; el árbol portalira está montado en soportes especiales de acero, en los que, a su vez, están montados dos sellos mecánicos con barrera de agua, para asegurar la separación perfecta entre la parte motriz y la zona de trabajo; por un espacio específico, practicado en la junta, fluye agua erogada mediante una electroválvula, solo cuando la lira está en movimiento.</w:t>
            </w:r>
          </w:p>
          <w:p w14:paraId="619E42A2" w14:textId="77777777" w:rsidR="0055417C" w:rsidRPr="003D53E3" w:rsidRDefault="0055417C" w:rsidP="0055417C">
            <w:pPr>
              <w:rPr>
                <w:rFonts w:ascii="Verdana" w:hAnsi="Verdana"/>
                <w:sz w:val="17"/>
                <w:szCs w:val="17"/>
              </w:rPr>
            </w:pPr>
            <w:r w:rsidRPr="003D53E3">
              <w:rPr>
                <w:rFonts w:ascii="Verdana" w:hAnsi="Verdana"/>
                <w:sz w:val="17"/>
                <w:szCs w:val="17"/>
              </w:rPr>
              <w:t>Como alternativa, puede conectarse el circuito de fluido de las juntas al circuito de lavado C.I.P.</w:t>
            </w:r>
          </w:p>
          <w:p w14:paraId="0F6F1B98" w14:textId="77777777" w:rsidR="0055417C" w:rsidRPr="003D53E3" w:rsidRDefault="0055417C" w:rsidP="0055417C">
            <w:pPr>
              <w:rPr>
                <w:rFonts w:ascii="Verdana" w:hAnsi="Verdana"/>
                <w:sz w:val="17"/>
                <w:szCs w:val="17"/>
              </w:rPr>
            </w:pPr>
            <w:r w:rsidRPr="003D53E3">
              <w:rPr>
                <w:rFonts w:ascii="Verdana" w:hAnsi="Verdana"/>
                <w:sz w:val="17"/>
                <w:szCs w:val="17"/>
              </w:rPr>
              <w:t xml:space="preserve">En la parte superior, la cuba de coagulación cuenta con una ventanilla por la que el operador puede ver el ciclo de trabajo; en la misma parte, se encuentra montada una cuba especial para la dosificación del cuajo, conectada a un tubo agujereado que distribuye homogéneamente el cuajo dentro de la cuba; el llenado con leche se realiza mediante el tubo correspondiente. </w:t>
            </w:r>
          </w:p>
          <w:p w14:paraId="3482486C" w14:textId="77777777" w:rsidR="0055417C" w:rsidRPr="003D53E3" w:rsidRDefault="0055417C" w:rsidP="0055417C">
            <w:pPr>
              <w:rPr>
                <w:rFonts w:ascii="Verdana" w:hAnsi="Verdana"/>
                <w:sz w:val="17"/>
                <w:szCs w:val="17"/>
              </w:rPr>
            </w:pPr>
            <w:r w:rsidRPr="003D53E3">
              <w:rPr>
                <w:rFonts w:ascii="Verdana" w:hAnsi="Verdana"/>
                <w:sz w:val="17"/>
                <w:szCs w:val="17"/>
              </w:rPr>
              <w:t xml:space="preserve">Dentro de la cuba están montados los tubos terminados en turbinas de lavado rotantes, para el enjuague al final del ciclo o la desinfección automática </w:t>
            </w:r>
            <w:r w:rsidRPr="003D53E3">
              <w:rPr>
                <w:rFonts w:ascii="Verdana" w:hAnsi="Verdana"/>
                <w:sz w:val="17"/>
                <w:szCs w:val="17"/>
              </w:rPr>
              <w:lastRenderedPageBreak/>
              <w:t>al cabo de la elaboración; la cuba de dosificación de cuajo dispone de una turbina más pequeña.</w:t>
            </w:r>
          </w:p>
          <w:p w14:paraId="0521258A" w14:textId="77777777" w:rsidR="0055417C" w:rsidRPr="003D53E3" w:rsidRDefault="0055417C" w:rsidP="0055417C">
            <w:pPr>
              <w:rPr>
                <w:rFonts w:ascii="Verdana" w:hAnsi="Verdana"/>
                <w:sz w:val="17"/>
                <w:szCs w:val="17"/>
              </w:rPr>
            </w:pPr>
            <w:r w:rsidRPr="003D53E3">
              <w:rPr>
                <w:rFonts w:ascii="Verdana" w:hAnsi="Verdana"/>
                <w:sz w:val="17"/>
                <w:szCs w:val="17"/>
              </w:rPr>
              <w:t>Las soluciones de lavado son evacuadas de la cuba mediante la descarga DN25, equipada con válvula neumática ‘’on-off’’.</w:t>
            </w:r>
          </w:p>
          <w:p w14:paraId="63A9CB7D" w14:textId="77777777" w:rsidR="0055417C" w:rsidRPr="003D53E3" w:rsidRDefault="0055417C" w:rsidP="0055417C">
            <w:pPr>
              <w:rPr>
                <w:rFonts w:ascii="Verdana" w:hAnsi="Verdana"/>
                <w:sz w:val="17"/>
                <w:szCs w:val="17"/>
              </w:rPr>
            </w:pPr>
            <w:r w:rsidRPr="003D53E3">
              <w:rPr>
                <w:rFonts w:ascii="Verdana" w:hAnsi="Verdana"/>
                <w:sz w:val="17"/>
                <w:szCs w:val="17"/>
              </w:rPr>
              <w:t>Las funciones de la máquina (desplazamientos y ciclos de cuajado, tiempos y velocidades) son gestionadas a través de un controlador lógico programable (PLC), equipado con un programa computarizado en el que pueden guardarse hasta 5 ciclos de elaboración.</w:t>
            </w:r>
          </w:p>
          <w:p w14:paraId="03F068A2" w14:textId="77777777" w:rsidR="0055417C" w:rsidRPr="003D53E3" w:rsidRDefault="0055417C" w:rsidP="0055417C">
            <w:pPr>
              <w:rPr>
                <w:rFonts w:ascii="Verdana" w:hAnsi="Verdana"/>
                <w:sz w:val="17"/>
                <w:szCs w:val="17"/>
              </w:rPr>
            </w:pPr>
            <w:r w:rsidRPr="003D53E3">
              <w:rPr>
                <w:rFonts w:ascii="Verdana" w:hAnsi="Verdana"/>
                <w:sz w:val="17"/>
                <w:szCs w:val="17"/>
              </w:rPr>
              <w:t>En el panel de control, mediante un teclado configurable, son seleccionados los diferentes menús de elaboración; una línea luminosa muestra las fases de las elaboraciones, e informa al operador acerca las operaciones a seguir.</w:t>
            </w:r>
          </w:p>
          <w:p w14:paraId="58BAE943" w14:textId="38EAC9BF" w:rsidR="0055417C" w:rsidRPr="003D53E3" w:rsidRDefault="0055417C" w:rsidP="0055417C">
            <w:pPr>
              <w:spacing w:before="75" w:after="0" w:line="240" w:lineRule="auto"/>
              <w:rPr>
                <w:rFonts w:ascii="Verdana" w:eastAsia="Times New Roman" w:hAnsi="Verdana" w:cs="Times New Roman"/>
                <w:color w:val="1F1E1D"/>
                <w:sz w:val="17"/>
                <w:szCs w:val="17"/>
              </w:rPr>
            </w:pPr>
            <w:r w:rsidRPr="003D53E3">
              <w:rPr>
                <w:rFonts w:ascii="Verdana" w:hAnsi="Verdana"/>
                <w:sz w:val="17"/>
                <w:szCs w:val="17"/>
              </w:rPr>
              <w:t>El operador puede acceder fácilmente al panel de mando y a la ventanilla corrediza de la parte superior de la cuba, gracias a una plataforma con escaleras, equipada con barandillas y tacos en las bases, hecha en acero inoxidable con superficie antideslizante.</w:t>
            </w:r>
          </w:p>
        </w:tc>
      </w:tr>
    </w:tbl>
    <w:p w14:paraId="1C2465AF" w14:textId="77777777" w:rsidR="0055417C" w:rsidRDefault="0055417C"/>
    <w:sectPr w:rsidR="005541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21D"/>
    <w:rsid w:val="000D52B4"/>
    <w:rsid w:val="00187C68"/>
    <w:rsid w:val="002474F0"/>
    <w:rsid w:val="00256ABB"/>
    <w:rsid w:val="00290FD7"/>
    <w:rsid w:val="00331B91"/>
    <w:rsid w:val="003C7E56"/>
    <w:rsid w:val="003D53E3"/>
    <w:rsid w:val="004E169B"/>
    <w:rsid w:val="00541382"/>
    <w:rsid w:val="0055417C"/>
    <w:rsid w:val="005938B2"/>
    <w:rsid w:val="006202F2"/>
    <w:rsid w:val="006625FC"/>
    <w:rsid w:val="00702F7B"/>
    <w:rsid w:val="0075035B"/>
    <w:rsid w:val="008346B2"/>
    <w:rsid w:val="008A3DDE"/>
    <w:rsid w:val="009732A2"/>
    <w:rsid w:val="00A1798B"/>
    <w:rsid w:val="00A24601"/>
    <w:rsid w:val="00A8584B"/>
    <w:rsid w:val="00C14F99"/>
    <w:rsid w:val="00C57C89"/>
    <w:rsid w:val="00D263C3"/>
    <w:rsid w:val="00DC4A0D"/>
    <w:rsid w:val="00EA5844"/>
    <w:rsid w:val="00F0521D"/>
    <w:rsid w:val="00F64F2C"/>
    <w:rsid w:val="00FA2B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E6EEC"/>
  <w15:chartTrackingRefBased/>
  <w15:docId w15:val="{560970B8-2578-4DF8-A711-D1A44362F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21D"/>
    <w:rPr>
      <w:rFonts w:ascii="Calibri" w:eastAsia="Calibri" w:hAnsi="Calibri" w:cs="Calibri"/>
      <w:color w:val="000000"/>
      <w:lang w:val="en-GB"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202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85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Pages>
  <Words>8494</Words>
  <Characters>46718</Characters>
  <Application>Microsoft Office Word</Application>
  <DocSecurity>0</DocSecurity>
  <Lines>389</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Daniel Ducasse</dc:creator>
  <cp:keywords/>
  <dc:description/>
  <cp:lastModifiedBy>Fernando Daniel Ducasse</cp:lastModifiedBy>
  <cp:revision>15</cp:revision>
  <dcterms:created xsi:type="dcterms:W3CDTF">2022-06-05T12:07:00Z</dcterms:created>
  <dcterms:modified xsi:type="dcterms:W3CDTF">2022-08-01T17:56:00Z</dcterms:modified>
</cp:coreProperties>
</file>