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color w:val="242424"/>
          <w:sz w:val="42"/>
          <w:lang w:val="fr-FR"/>
        </w:rPr>
        <w:t xml:space="preserve">ANTOINE ROBARDEY</w:t>
      </w:r>
    </w:p>
    <w:p>
      <w:pPr>
        <w:spacing w:after="40"/>
        <w:jc w:val="center"/>
      </w:pPr>
      <w:r>
        <w:rPr>
          <w:rFonts w:ascii="Arial" w:hAnsi="Arial"/>
          <w:b/>
          <w:color w:val="20374B"/>
          <w:sz w:val="19"/>
          <w:lang w:val="fr-FR"/>
        </w:rPr>
        <w:t xml:space="preserve">TRADUCTEUR  |  JURIDIQUE · FINANCIER · INSTITUTIONNEL · ASSERMENTÉ</w:t>
      </w:r>
    </w:p>
    <w:p>
      <w:pPr>
        <w:spacing w:after="80" w:line="240" w:lineRule="auto"/>
        <w:jc w:val="center"/>
        <w:pBdr>
          <w:bottom w:val="single" w:sz="9" w:space="4" w:color="20374B"/>
        </w:pBdr>
      </w:pPr>
      <w:r>
        <w:rPr>
          <w:color w:val="5A5A5A"/>
          <w:sz w:val="17"/>
          <w:lang w:val="fr-FR"/>
        </w:rPr>
        <w:t xml:space="preserve">Français langue maternelle  |  Basé à Cadix, Espagne  |  +34 628 30 32 58  |  </w:t>
      </w:r>
      <w:hyperlink r:id="rId9">
        <w:r>
          <w:rPr>
            <w:color w:val="5A5A5A"/>
            <w:rFonts w:ascii="Arial" w:hAnsi="Arial"/>
            <w:sz w:val="18"/>
            <w:lang w:val="fr-FR"/>
          </w:rPr>
          <w:t xml:space="preserve">pro.artrad@gmail.com</w:t>
        </w:r>
      </w:hyperlink>
      <w:r>
        <w:rPr>
          <w:color w:val="5A5A5A"/>
          <w:sz w:val="17"/>
          <w:lang w:val="fr-FR"/>
        </w:rPr>
        <w:t xml:space="preserve">  |  </w:t>
      </w:r>
      <w:hyperlink r:id="rId10">
        <w:r>
          <w:rPr>
            <w:color w:val="20374B"/>
            <w:b/>
            <w:rFonts w:ascii="Arial" w:hAnsi="Arial"/>
            <w:sz w:val="18"/>
            <w:lang w:val="fr-FR"/>
          </w:rPr>
          <w:t xml:space="preserve">Frenchtranslatorpro.com</w:t>
        </w:r>
      </w:hyperlink>
      <w:r>
        <w:rPr>
          <w:color w:val="5A5A5A"/>
          <w:sz w:val="17"/>
          <w:lang w:val="fr-FR"/>
        </w:rPr>
        <w:t xml:space="preserve">  |  </w:t>
      </w:r>
      <w:hyperlink r:id="rId11">
        <w:r>
          <w:rPr>
            <w:color w:val="5A5A5A"/>
            <w:rFonts w:ascii="Arial" w:hAnsi="Arial"/>
            <w:sz w:val="18"/>
            <w:lang w:val="fr-FR"/>
          </w:rPr>
          <w:t xml:space="preserve">LinkedIn</w:t>
        </w:r>
      </w:hyperlink>
    </w:p>
    <w:p>
      <w:pPr>
        <w:pStyle w:val="SectionHeading"/>
        <w:keepNext/>
        <w:pBdr>
          <w:bottom w:val="single" w:sz="5" w:space="4" w:color="C9D0D5"/>
        </w:pBdr>
      </w:pPr>
      <w:r>
        <w:rPr>
          <w:lang w:val="fr-FR"/>
        </w:rPr>
        <w:rPr>
          <w:rFonts w:ascii="Arial" w:hAnsi="Arial"/>
          <w:color w:val="242424"/>
          <w:sz w:val="18"/>
        </w:rPr>
        <w:t xml:space="preserve">PROFIL PROFESSIONNEL</w:t>
      </w:r>
    </w:p>
    <w:p>
      <w:pPr>
        <w:spacing w:after="80" w:line="252" w:lineRule="auto"/>
      </w:pPr>
      <w:r>
        <w:rPr>
          <w:lang w:val="fr-FR"/>
        </w:rPr>
        <w:rPr>
          <w:rFonts w:ascii="Arial" w:hAnsi="Arial"/>
          <w:color w:val="242424"/>
          <w:sz w:val="18"/>
        </w:rPr>
        <w:t xml:space="preserve">Traducteur professionnel de langue maternelle française, fort de 12 ans d’expérience, spécialisé en traduction juridique, financière, économique et institutionnelle. Je traduis principalement de l’anglais et de l’espagnol vers le français et travaille avec des organisations internationales, des institutions financières, des cabinets d’avocats, des agences de traduction et des entreprises en Europe et à l’international. Je suis également officiellement habilité comme traducteur assermenté ou juré en Espagne, au Luxembourg et aux Pays-Bas, dans des combinaisons linguistiques qui varient selon chaque juridiction.</w:t>
      </w:r>
    </w:p>
    <w:p>
      <w:pPr>
        <w:pStyle w:val="SectionHeading"/>
        <w:keepNext/>
        <w:pBdr>
          <w:bottom w:val="single" w:sz="5" w:space="4" w:color="C9D0D5"/>
        </w:pBdr>
      </w:pPr>
      <w:r>
        <w:rPr>
          <w:lang w:val="fr-FR"/>
        </w:rPr>
        <w:rPr>
          <w:rFonts w:ascii="Arial" w:hAnsi="Arial"/>
          <w:color w:val="242424"/>
          <w:sz w:val="18"/>
        </w:rPr>
        <w:t xml:space="preserve">LANGUES DE TRAVAIL ET HABILITATIONS</w:t>
      </w:r>
    </w:p>
    <w:tbl>
      <w:tblPr>
        <w:tblW w:type="auto" w:w="0"/>
        <w:jc w:val="center"/>
        <w:tblLayout w:type="fixed"/>
        <w:tblLook w:firstColumn="1" w:firstRow="1" w:lastColumn="0" w:lastRow="0" w:noHBand="0" w:noVBand="1" w:val="04A0"/>
        <w:tblBorders>
          <w:top w:val="single" w:sz="4" w:space="0" w:color="D8DDE1"/>
          <w:left w:val="single" w:sz="4" w:space="0" w:color="D8DDE1"/>
          <w:bottom w:val="single" w:sz="4" w:space="0" w:color="D8DDE1"/>
          <w:right w:val="single" w:sz="4" w:space="0" w:color="D8DDE1"/>
          <w:insideH w:val="single" w:sz="4" w:space="0" w:color="D8DDE1"/>
          <w:insideV w:val="single" w:sz="4" w:space="0" w:color="D8DDE1"/>
        </w:tblBorders>
      </w:tblPr>
      <w:tblGrid>
        <w:gridCol w:w="4320"/>
        <w:gridCol w:w="5760"/>
      </w:tblGrid>
      <w:tr>
        <w:trPr>
          <w:cantSplit/>
        </w:trPr>
        <w:tc>
          <w:tcPr>
            <w:tcW w:type="dxa" w:w="5227"/>
            <w:shd w:fill="F4F6F7"/>
            <w:tcMar>
              <w:top w:w="55" w:type="dxa"/>
              <w:start w:w="90" w:type="dxa"/>
              <w:bottom w:w="55" w:type="dxa"/>
              <w:end w:w="90" w:type="dxa"/>
            </w:tcMar>
            <w:vAlign w:val="top"/>
          </w:tcPr>
          <w:p>
            <w:pPr>
              <w:pStyle w:val="Compact"/>
            </w:pPr>
            <w:r>
              <w:rPr>
                <w:b/>
                <w:color w:val="20374B"/>
                <w:lang w:val="fr-FR"/>
              </w:rPr>
              <w:t xml:space="preserve">LANGUES DE TRAVAIL</w:t>
            </w:r>
          </w:p>
          <w:p>
            <w:pPr>
              <w:pStyle w:val="Compact"/>
              <w:ind w:left="144" w:hanging="115"/>
            </w:pPr>
            <w:r>
              <w:rPr>
                <w:color w:val="20374B"/>
                <w:lang w:val="fr-FR"/>
              </w:rPr>
              <w:t xml:space="preserve">• </w:t>
            </w:r>
            <w:r>
              <w:rPr>
                <w:lang w:val="fr-FR"/>
              </w:rPr>
              <w:t xml:space="preserve">Anglais → français</w:t>
            </w:r>
          </w:p>
          <w:p>
            <w:pPr>
              <w:pStyle w:val="Compact"/>
              <w:ind w:left="144" w:hanging="115"/>
            </w:pPr>
            <w:r>
              <w:rPr>
                <w:color w:val="20374B"/>
                <w:lang w:val="fr-FR"/>
              </w:rPr>
              <w:t xml:space="preserve">• </w:t>
            </w:r>
            <w:r>
              <w:rPr>
                <w:lang w:val="fr-FR"/>
              </w:rPr>
              <w:t xml:space="preserve">Espagnol → français</w:t>
            </w:r>
          </w:p>
          <w:p>
            <w:pPr>
              <w:pStyle w:val="Compact"/>
              <w:ind w:left="144" w:hanging="115"/>
            </w:pPr>
            <w:r>
              <w:rPr>
                <w:color w:val="20374B"/>
                <w:lang w:val="fr-FR"/>
              </w:rPr>
              <w:t xml:space="preserve">• </w:t>
            </w:r>
            <w:r>
              <w:rPr>
                <w:lang w:val="fr-FR"/>
              </w:rPr>
              <w:t xml:space="preserve">Français → espagnol pour les missions de traduction assermentée</w:t>
            </w:r>
          </w:p>
        </w:tc>
        <w:tc>
          <w:tcPr>
            <w:tcW w:type="dxa" w:w="5227"/>
            <w:shd w:fill="F4F6F7"/>
            <w:tcMar>
              <w:top w:w="55" w:type="dxa"/>
              <w:start w:w="90" w:type="dxa"/>
              <w:bottom w:w="55" w:type="dxa"/>
              <w:end w:w="90" w:type="dxa"/>
            </w:tcMar>
            <w:vAlign w:val="top"/>
          </w:tcPr>
          <w:p>
            <w:pPr>
              <w:pStyle w:val="Compact"/>
            </w:pPr>
            <w:r>
              <w:rPr>
                <w:b/>
                <w:color w:val="20374B"/>
                <w:lang w:val="fr-FR"/>
              </w:rPr>
              <w:t xml:space="preserve">HABILITATIONS OFFICIELLES</w:t>
            </w:r>
          </w:p>
          <w:p>
            <w:pPr>
              <w:pStyle w:val="Compact"/>
              <w:spacing w:after="20"/>
            </w:pPr>
            <w:r>
              <w:rPr>
                <w:b/>
                <w:color w:val="242424"/>
                <w:lang w:val="fr-FR"/>
              </w:rPr>
              <w:t xml:space="preserve">Espagne : </w:t>
            </w:r>
            <w:r>
              <w:rPr>
                <w:lang w:val="fr-FR"/>
              </w:rPr>
              <w:t xml:space="preserve">Traducteur juré de français (Traductor Jurado de Francés), MAEC n° 11542 — français ↔ espagnol</w:t>
            </w:r>
          </w:p>
          <w:p>
            <w:pPr>
              <w:pStyle w:val="Compact"/>
              <w:spacing w:after="20"/>
            </w:pPr>
            <w:r>
              <w:rPr>
                <w:b/>
                <w:color w:val="242424"/>
                <w:lang w:val="fr-FR"/>
              </w:rPr>
              <w:t xml:space="preserve">Luxembourg : </w:t>
            </w:r>
            <w:r>
              <w:rPr>
                <w:lang w:val="fr-FR"/>
              </w:rPr>
              <w:t xml:space="preserve">Traducteur assermenté — anglais → français et espagnol → français</w:t>
            </w:r>
          </w:p>
          <w:p>
            <w:pPr>
              <w:pStyle w:val="Compact"/>
              <w:spacing w:after="20"/>
            </w:pPr>
            <w:r>
              <w:rPr>
                <w:b/>
                <w:color w:val="242424"/>
                <w:lang w:val="fr-FR"/>
              </w:rPr>
              <w:t xml:space="preserve">Pays-Bas : </w:t>
            </w:r>
            <w:r>
              <w:rPr>
                <w:lang w:val="fr-FR"/>
              </w:rPr>
              <w:t xml:space="preserve">Wbtv n° 40914 — anglais-français, espagnol-français et français-espagnol</w:t>
            </w:r>
          </w:p>
        </w:tc>
      </w:tr>
    </w:tbl>
    <w:p>
      <w:pPr>
        <w:pStyle w:val="SectionHeading"/>
        <w:keepNext/>
        <w:pBdr>
          <w:bottom w:val="single" w:sz="5" w:space="4" w:color="C9D0D5"/>
        </w:pBdr>
      </w:pPr>
      <w:r>
        <w:rPr>
          <w:lang w:val="fr-FR"/>
        </w:rPr>
        <w:rPr>
          <w:rFonts w:ascii="Arial" w:hAnsi="Arial"/>
          <w:color w:val="242424"/>
          <w:sz w:val="18"/>
        </w:rPr>
        <w:t xml:space="preserve">DOMAINES D’EXPERTISE</w:t>
      </w:r>
    </w:p>
    <w:tbl>
      <w:tblPr>
        <w:tblW w:type="auto" w:w="0"/>
        <w:jc w:val="center"/>
        <w:tblLayout w:type="fixed"/>
        <w:tblLook w:firstColumn="1" w:firstRow="1" w:lastColumn="0" w:lastRow="0" w:noHBand="0" w:noVBand="1" w:val="04A0"/>
        <w:tblBorders>
          <w:top w:val="single" w:sz="3" w:space="0" w:color="E3E6E8"/>
          <w:left w:val="single" w:sz="3" w:space="0" w:color="E3E6E8"/>
          <w:bottom w:val="single" w:sz="3" w:space="0" w:color="E3E6E8"/>
          <w:right w:val="single" w:sz="3" w:space="0" w:color="E3E6E8"/>
          <w:insideH w:val="single" w:sz="3" w:space="0" w:color="E3E6E8"/>
          <w:insideV w:val="single" w:sz="3" w:space="0" w:color="E3E6E8"/>
        </w:tblBorders>
      </w:tblPr>
      <w:tblGrid>
        <w:gridCol w:w="3269"/>
        <w:gridCol w:w="3269"/>
        <w:gridCol w:w="3269"/>
      </w:tblGrid>
      <w:tr>
        <w:trPr>
          <w:cantSplit/>
        </w:trPr>
        <w:tc>
          <w:tcPr>
            <w:tcW w:type="dxa" w:w="3485"/>
            <w:tcMar>
              <w:top w:w="55" w:type="dxa"/>
              <w:start w:w="70" w:type="dxa"/>
              <w:bottom w:w="55" w:type="dxa"/>
              <w:end w:w="70" w:type="dxa"/>
            </w:tcMar>
          </w:tcPr>
          <w:p>
            <w:pPr>
              <w:pStyle w:val="Compact"/>
              <w:jc w:val="left"/>
            </w:pPr>
            <w:r>
              <w:rPr>
                <w:sz w:val="16"/>
                <w:lang w:val="fr-FR"/>
              </w:rPr>
              <w:t xml:space="preserve">Traduction juridique et sociétaire</w:t>
            </w:r>
          </w:p>
        </w:tc>
        <w:tc>
          <w:tcPr>
            <w:tcW w:type="dxa" w:w="3485"/>
            <w:tcMar>
              <w:top w:w="55" w:type="dxa"/>
              <w:start w:w="70" w:type="dxa"/>
              <w:bottom w:w="55" w:type="dxa"/>
              <w:end w:w="70" w:type="dxa"/>
            </w:tcMar>
          </w:tcPr>
          <w:p>
            <w:pPr>
              <w:pStyle w:val="Compact"/>
              <w:jc w:val="left"/>
            </w:pPr>
            <w:r>
              <w:rPr>
                <w:sz w:val="16"/>
                <w:lang w:val="fr-FR"/>
              </w:rPr>
              <w:t xml:space="preserve">Traduction financière et économique</w:t>
            </w:r>
          </w:p>
        </w:tc>
        <w:tc>
          <w:tcPr>
            <w:tcW w:type="dxa" w:w="3485"/>
            <w:tcMar>
              <w:top w:w="55" w:type="dxa"/>
              <w:start w:w="70" w:type="dxa"/>
              <w:bottom w:w="55" w:type="dxa"/>
              <w:end w:w="70" w:type="dxa"/>
            </w:tcMar>
          </w:tcPr>
          <w:p>
            <w:pPr>
              <w:pStyle w:val="Compact"/>
              <w:jc w:val="left"/>
            </w:pPr>
            <w:r>
              <w:rPr>
                <w:sz w:val="16"/>
                <w:lang w:val="fr-FR"/>
              </w:rPr>
              <w:t xml:space="preserve">Traduction institutionnelle et politiques publiques</w:t>
            </w:r>
          </w:p>
        </w:tc>
      </w:tr>
      <w:tr>
        <w:trPr>
          <w:cantSplit/>
        </w:trPr>
        <w:tc>
          <w:tcPr>
            <w:tcW w:type="dxa" w:w="3485"/>
            <w:tcMar>
              <w:top w:w="55" w:type="dxa"/>
              <w:start w:w="70" w:type="dxa"/>
              <w:bottom w:w="55" w:type="dxa"/>
              <w:end w:w="70" w:type="dxa"/>
            </w:tcMar>
          </w:tcPr>
          <w:p>
            <w:pPr>
              <w:pStyle w:val="Compact"/>
              <w:jc w:val="left"/>
            </w:pPr>
            <w:r>
              <w:rPr>
                <w:sz w:val="16"/>
                <w:lang w:val="fr-FR"/>
              </w:rPr>
              <w:t xml:space="preserve">Contrats, documents judiciaires et arbitrage</w:t>
            </w:r>
          </w:p>
        </w:tc>
        <w:tc>
          <w:tcPr>
            <w:tcW w:type="dxa" w:w="3485"/>
            <w:tcMar>
              <w:top w:w="55" w:type="dxa"/>
              <w:start w:w="70" w:type="dxa"/>
              <w:bottom w:w="55" w:type="dxa"/>
              <w:end w:w="70" w:type="dxa"/>
            </w:tcMar>
          </w:tcPr>
          <w:p>
            <w:pPr>
              <w:pStyle w:val="Compact"/>
              <w:jc w:val="left"/>
            </w:pPr>
            <w:r>
              <w:rPr>
                <w:sz w:val="16"/>
                <w:lang w:val="fr-FR"/>
              </w:rPr>
              <w:t xml:space="preserve">Actes notariés, procurations et successions</w:t>
            </w:r>
          </w:p>
        </w:tc>
        <w:tc>
          <w:tcPr>
            <w:tcW w:type="dxa" w:w="3485"/>
            <w:tcMar>
              <w:top w:w="55" w:type="dxa"/>
              <w:start w:w="70" w:type="dxa"/>
              <w:bottom w:w="55" w:type="dxa"/>
              <w:end w:w="70" w:type="dxa"/>
            </w:tcMar>
          </w:tcPr>
          <w:p>
            <w:pPr>
              <w:pStyle w:val="Compact"/>
              <w:jc w:val="left"/>
            </w:pPr>
            <w:r>
              <w:rPr>
                <w:sz w:val="16"/>
                <w:lang w:val="fr-FR"/>
              </w:rPr>
              <w:t xml:space="preserve">Documents sociétaires et textes réglementaires</w:t>
            </w:r>
          </w:p>
        </w:tc>
      </w:tr>
      <w:tr>
        <w:trPr>
          <w:cantSplit/>
        </w:trPr>
        <w:tc>
          <w:tcPr>
            <w:tcW w:type="dxa" w:w="3485"/>
            <w:tcMar>
              <w:top w:w="55" w:type="dxa"/>
              <w:start w:w="70" w:type="dxa"/>
              <w:bottom w:w="55" w:type="dxa"/>
              <w:end w:w="70" w:type="dxa"/>
            </w:tcMar>
          </w:tcPr>
          <w:p>
            <w:pPr>
              <w:pStyle w:val="Compact"/>
              <w:jc w:val="left"/>
            </w:pPr>
            <w:r>
              <w:rPr>
                <w:sz w:val="16"/>
                <w:lang w:val="fr-FR"/>
              </w:rPr>
              <w:t xml:space="preserve">Traduction assermentée et certifiée</w:t>
            </w:r>
          </w:p>
        </w:tc>
        <w:tc>
          <w:tcPr>
            <w:tcW w:type="dxa" w:w="3485"/>
            <w:tcMar>
              <w:top w:w="55" w:type="dxa"/>
              <w:start w:w="70" w:type="dxa"/>
              <w:bottom w:w="55" w:type="dxa"/>
              <w:end w:w="70" w:type="dxa"/>
            </w:tcMar>
          </w:tcPr>
          <w:p>
            <w:pPr>
              <w:pStyle w:val="Compact"/>
              <w:jc w:val="left"/>
            </w:pPr>
            <w:r>
              <w:rPr>
                <w:sz w:val="16"/>
                <w:lang w:val="fr-FR"/>
              </w:rPr>
              <w:t xml:space="preserve">Rapports économiques et documents d’orientation</w:t>
            </w:r>
          </w:p>
        </w:tc>
        <w:tc>
          <w:tcPr>
            <w:tcW w:type="dxa" w:w="3485"/>
            <w:tcMar>
              <w:top w:w="55" w:type="dxa"/>
              <w:start w:w="70" w:type="dxa"/>
              <w:bottom w:w="55" w:type="dxa"/>
              <w:end w:w="70" w:type="dxa"/>
            </w:tcMar>
          </w:tcPr>
          <w:p>
            <w:pPr>
              <w:pStyle w:val="Compact"/>
              <w:jc w:val="left"/>
            </w:pPr>
            <w:r>
              <w:rPr>
                <w:sz w:val="16"/>
                <w:lang w:val="fr-FR"/>
              </w:rPr>
              <w:t xml:space="preserve">Révision, relecture et contrôle qualité</w:t>
            </w:r>
          </w:p>
        </w:tc>
      </w:tr>
    </w:tbl>
    <w:p>
      <w:pPr>
        <w:pStyle w:val="SectionHeading"/>
        <w:keepNext/>
        <w:pBdr>
          <w:bottom w:val="single" w:sz="5" w:space="4" w:color="C9D0D5"/>
        </w:pBdr>
      </w:pPr>
      <w:r>
        <w:rPr>
          <w:lang w:val="fr-FR"/>
        </w:rPr>
        <w:rPr>
          <w:rFonts w:ascii="Arial" w:hAnsi="Arial"/>
          <w:color w:val="242424"/>
          <w:sz w:val="18"/>
        </w:rPr>
        <w:t xml:space="preserve">EXPÉRIENCE INSTITUTIONNELLE — SÉLECTION</w:t>
      </w:r>
    </w:p>
    <w:p>
      <w:pPr>
        <w:pStyle w:val="Compact"/>
        <w:keepLines/>
        <w:spacing w:after="32"/>
      </w:pPr>
      <w:r>
        <w:rPr>
          <w:b/>
          <w:color w:val="20374B"/>
          <w:lang w:val="fr-FR"/>
        </w:rPr>
        <w:t xml:space="preserve">OCDE — </w:t>
      </w:r>
      <w:r>
        <w:rPr>
          <w:lang w:val="fr-FR"/>
        </w:rPr>
        <w:rPr>
          <w:rFonts w:ascii="Arial" w:hAnsi="Arial"/>
          <w:color w:val="242424"/>
          <w:sz w:val="18"/>
        </w:rPr>
        <w:t xml:space="preserve">Traducteur externe anglais-français pour des publications économiques, financières et de politique publique, notamment des Études économiques, des contenus des Perspectives économiques de l’OCDE, des notes pays sur le financement des PME et des documents institutionnels destinés à des comités et groupes de travail.</w:t>
      </w:r>
    </w:p>
    <w:p>
      <w:pPr>
        <w:pStyle w:val="Compact"/>
        <w:keepLines/>
        <w:spacing w:after="32"/>
      </w:pPr>
      <w:r>
        <w:rPr>
          <w:b/>
          <w:color w:val="20374B"/>
          <w:lang w:val="fr-FR"/>
        </w:rPr>
        <w:t xml:space="preserve">Banque européenne pour la reconstruction et le développement (BERD) — </w:t>
      </w:r>
      <w:r>
        <w:rPr>
          <w:lang w:val="fr-FR"/>
        </w:rPr>
        <w:rPr>
          <w:rFonts w:ascii="Arial" w:hAnsi="Arial"/>
          <w:color w:val="242424"/>
          <w:sz w:val="18"/>
        </w:rPr>
        <w:t xml:space="preserve">Traducteur externe anglais-français pour des dossiers de financement d’infrastructures, des rapports aux organes de gouvernance, des résolutions du Conseil des gouverneurs et des discours prononcés lors de l’Assemblée annuelle.</w:t>
      </w:r>
    </w:p>
    <w:p>
      <w:pPr>
        <w:pStyle w:val="Compact"/>
        <w:keepLines/>
        <w:spacing w:after="32"/>
      </w:pPr>
      <w:r>
        <w:rPr>
          <w:b/>
          <w:color w:val="20374B"/>
          <w:lang w:val="fr-FR"/>
        </w:rPr>
        <w:t xml:space="preserve">Cour internationale de Justice (CIJ) — </w:t>
      </w:r>
      <w:r>
        <w:rPr>
          <w:lang w:val="fr-FR"/>
        </w:rPr>
        <w:rPr>
          <w:rFonts w:ascii="Arial" w:hAnsi="Arial"/>
          <w:color w:val="242424"/>
          <w:sz w:val="18"/>
        </w:rPr>
        <w:t xml:space="preserve">Traducteur externe anglais-français pour le Greffe, notamment sur des pièces de procédure écrites et des procédures consultatives.</w:t>
      </w:r>
    </w:p>
    <w:p>
      <w:pPr>
        <w:pStyle w:val="Compact"/>
        <w:keepLines/>
        <w:spacing w:after="32"/>
      </w:pPr>
      <w:r>
        <w:rPr>
          <w:b/>
          <w:color w:val="20374B"/>
          <w:lang w:val="fr-FR"/>
        </w:rPr>
        <w:t xml:space="preserve">Fonds monétaire international (FMI) — </w:t>
      </w:r>
      <w:r>
        <w:rPr>
          <w:lang w:val="fr-FR"/>
        </w:rPr>
        <w:rPr>
          <w:rFonts w:ascii="Arial" w:hAnsi="Arial"/>
          <w:color w:val="242424"/>
          <w:sz w:val="18"/>
        </w:rPr>
        <w:t xml:space="preserve">Sélectionné dans le vivier de traducteurs indépendants du FMI et sous contrat comme traducteur externe anglais-français.</w:t>
      </w:r>
    </w:p>
    <w:p>
      <w:pPr>
        <w:pStyle w:val="Compact"/>
        <w:keepLines/>
        <w:spacing w:after="32"/>
      </w:pPr>
      <w:r>
        <w:rPr>
          <w:b/>
          <w:color w:val="20374B"/>
          <w:lang w:val="fr-FR"/>
        </w:rPr>
        <w:t xml:space="preserve">AfricaNenda Foundation — </w:t>
      </w:r>
      <w:r>
        <w:rPr>
          <w:lang w:val="fr-FR"/>
        </w:rPr>
        <w:rPr>
          <w:rFonts w:ascii="Arial" w:hAnsi="Arial"/>
          <w:color w:val="242424"/>
          <w:sz w:val="18"/>
        </w:rPr>
        <w:t xml:space="preserve">Révision et relecture anglais-français de contenus institutionnels et liés à l’inclusion financière, notamment le rapport phare SIIPS et des communications institutionnelles.</w:t>
      </w:r>
    </w:p>
    <w:p>
      <w:pPr>
        <w:pStyle w:val="Compact"/>
        <w:keepLines/>
        <w:spacing w:after="32"/>
      </w:pPr>
      <w:r>
        <w:rPr>
          <w:b/>
          <w:color w:val="20374B"/>
          <w:lang w:val="fr-FR"/>
        </w:rPr>
        <w:t xml:space="preserve">Banque de Luxembourg — </w:t>
      </w:r>
      <w:r>
        <w:rPr>
          <w:lang w:val="fr-FR"/>
        </w:rPr>
        <w:rPr>
          <w:rFonts w:ascii="Arial" w:hAnsi="Arial"/>
          <w:color w:val="242424"/>
          <w:sz w:val="18"/>
        </w:rPr>
        <w:t xml:space="preserve">Travaux de traduction dans le secteur financier.</w:t>
      </w:r>
    </w:p>
    <w:p>
      <w:pPr>
        <w:pStyle w:val="SectionHeading"/>
        <w:keepNext/>
        <w:pBdr>
          <w:bottom w:val="single" w:sz="5" w:space="4" w:color="C9D0D5"/>
        </w:pBdr>
      </w:pPr>
      <w:r>
        <w:rPr>
          <w:lang w:val="fr-FR"/>
        </w:rPr>
        <w:rPr>
          <w:rFonts w:ascii="Arial" w:hAnsi="Arial"/>
          <w:color w:val="242424"/>
          <w:sz w:val="18"/>
        </w:rPr>
        <w:t xml:space="preserve">EXPÉRIENCE JURIDIQUE ET EN TRADUCTION ASSERMENTÉE — SÉLECTION</w:t>
      </w:r>
    </w:p>
    <w:p>
      <w:pPr>
        <w:pStyle w:val="Compact"/>
        <w:ind w:left="230" w:hanging="144"/>
      </w:pPr>
      <w:r>
        <w:rPr>
          <w:color w:val="20374B"/>
          <w:lang w:val="fr-FR"/>
        </w:rPr>
        <w:t xml:space="preserve">• </w:t>
      </w:r>
      <w:r>
        <w:rPr>
          <w:lang w:val="fr-FR"/>
        </w:rPr>
        <w:rPr>
          <w:rFonts w:ascii="Arial" w:hAnsi="Arial"/>
          <w:color w:val="242424"/>
          <w:sz w:val="18"/>
        </w:rPr>
        <w:t xml:space="preserve">Contrats et conventions, décisions de justice, documents d’arbitrage, textes réglementaires, documentation sociétaire, actes notariés, procurations, actes d’état civil et documents successoraux.</w:t>
      </w:r>
    </w:p>
    <w:p>
      <w:pPr>
        <w:pStyle w:val="Compact"/>
        <w:ind w:left="230" w:hanging="144"/>
      </w:pPr>
      <w:r>
        <w:rPr>
          <w:color w:val="20374B"/>
          <w:lang w:val="fr-FR"/>
        </w:rPr>
        <w:t xml:space="preserve">• </w:t>
      </w:r>
      <w:r>
        <w:rPr>
          <w:lang w:val="fr-FR"/>
        </w:rPr>
        <w:rPr>
          <w:rFonts w:ascii="Arial" w:hAnsi="Arial"/>
          <w:color w:val="242424"/>
          <w:sz w:val="18"/>
        </w:rPr>
        <w:t xml:space="preserve">Domaines juridiques : droit commercial, immobilier, successions, assurances, consommation et documents de droit privé pour des cabinets d’avocats, agences et entreprises.</w:t>
      </w:r>
    </w:p>
    <w:p>
      <w:pPr>
        <w:pStyle w:val="Compact"/>
        <w:ind w:left="230" w:hanging="144"/>
      </w:pPr>
      <w:r>
        <w:rPr>
          <w:color w:val="20374B"/>
          <w:lang w:val="fr-FR"/>
        </w:rPr>
        <w:t xml:space="preserve">• </w:t>
      </w:r>
      <w:r>
        <w:rPr>
          <w:lang w:val="fr-FR"/>
        </w:rPr>
        <w:rPr>
          <w:rFonts w:ascii="Arial" w:hAnsi="Arial"/>
          <w:color w:val="242424"/>
          <w:sz w:val="18"/>
        </w:rPr>
        <w:t xml:space="preserve">Collaboration de longue date en traduction juridique avec le Groupe Tradutec depuis 2015 ; une attestation client fait état de plus de 700 projets de traduction réalisés au cours de cette collaboration.</w:t>
      </w:r>
    </w:p>
    <w:p>
      <w:r>
        <w:rPr>
          <w:lang w:val="fr-FR"/>
        </w:rPr>
        <w:rPr>
          <w:rFonts w:ascii="Arial" w:hAnsi="Arial"/>
          <w:color w:val="242424"/>
          <w:sz w:val="18"/>
        </w:rPr>
        <w:br w:type="page"/>
      </w:r>
    </w:p>
    <w:p>
      <w:pPr>
        <w:pStyle w:val="SectionHeading"/>
        <w:keepNext/>
        <w:pBdr>
          <w:bottom w:val="single" w:sz="5" w:space="4" w:color="C9D0D5"/>
        </w:pBdr>
      </w:pPr>
      <w:r>
        <w:rPr>
          <w:lang w:val="fr-FR"/>
        </w:rPr>
        <w:rPr>
          <w:rFonts w:ascii="Arial" w:hAnsi="Arial"/>
          <w:color w:val="242424"/>
          <w:sz w:val="18"/>
        </w:rPr>
        <w:t xml:space="preserve">EXPÉRIENCE PROFESSIONNELLE</w:t>
      </w:r>
    </w:p>
    <w:p>
      <w:pPr>
        <w:pStyle w:val="SmallHeading"/>
        <w:keepNext/>
      </w:pPr>
      <w:r>
        <w:rPr>
          <w:color w:val="242424"/>
          <w:lang w:val="fr-FR"/>
        </w:rPr>
        <w:t xml:space="preserve">TRADUCTEUR INDÉPENDANT  |  2014–AUJOURD’HUI</w:t>
      </w:r>
    </w:p>
    <w:p>
      <w:pPr>
        <w:pStyle w:val="Compact"/>
        <w:ind w:left="230" w:hanging="144"/>
      </w:pPr>
      <w:r>
        <w:rPr>
          <w:color w:val="20374B"/>
          <w:lang w:val="fr-FR"/>
        </w:rPr>
        <w:t xml:space="preserve">• </w:t>
      </w:r>
      <w:r>
        <w:rPr>
          <w:lang w:val="fr-FR"/>
        </w:rPr>
        <w:rPr>
          <w:rFonts w:ascii="Arial" w:hAnsi="Arial"/>
          <w:color w:val="242424"/>
          <w:sz w:val="18"/>
        </w:rPr>
        <w:t xml:space="preserve">Traduction de l’anglais et de l’espagnol vers le français, spécialisée en droit, économie, finance, organisations internationales, politiques publiques et affaires institutionnelles.</w:t>
      </w:r>
    </w:p>
    <w:p>
      <w:pPr>
        <w:pStyle w:val="Compact"/>
        <w:ind w:left="230" w:hanging="144"/>
      </w:pPr>
      <w:r>
        <w:rPr>
          <w:color w:val="20374B"/>
          <w:lang w:val="fr-FR"/>
        </w:rPr>
        <w:t xml:space="preserve">• </w:t>
      </w:r>
      <w:r>
        <w:rPr>
          <w:lang w:val="fr-FR"/>
        </w:rPr>
        <w:rPr>
          <w:rFonts w:ascii="Arial" w:hAnsi="Arial"/>
          <w:color w:val="242424"/>
          <w:sz w:val="18"/>
        </w:rPr>
        <w:t xml:space="preserve">Missions régulières pour des organisations internationales, cabinets d’avocats, agences et entreprises en France, Belgique, Luxembourg, Irlande, Royaume-Uni, Pays-Bas, Allemagne, Espagne et États-Unis.</w:t>
      </w:r>
    </w:p>
    <w:p>
      <w:pPr>
        <w:pStyle w:val="Compact"/>
        <w:ind w:left="230" w:hanging="144"/>
      </w:pPr>
      <w:r>
        <w:rPr>
          <w:color w:val="20374B"/>
          <w:lang w:val="fr-FR"/>
        </w:rPr>
        <w:t xml:space="preserve">• </w:t>
      </w:r>
      <w:r>
        <w:rPr>
          <w:lang w:val="fr-FR"/>
        </w:rPr>
        <w:rPr>
          <w:rFonts w:ascii="Arial" w:hAnsi="Arial"/>
          <w:color w:val="242424"/>
          <w:sz w:val="18"/>
        </w:rPr>
        <w:t xml:space="preserve">Expérience de documents complexes et sensibles exigeant recherche terminologique, confidentialité, cohérence et respect rigoureux des guides de style et documents de référence des clients.</w:t>
      </w:r>
    </w:p>
    <w:p>
      <w:pPr>
        <w:pStyle w:val="SmallHeading"/>
        <w:keepNext/>
        <w:spacing w:before="80"/>
      </w:pPr>
      <w:r>
        <w:rPr>
          <w:color w:val="242424"/>
          <w:lang w:val="fr-FR"/>
        </w:rPr>
        <w:t xml:space="preserve">DIRIGEANT DE SOCIÉTÉS DE TRADUCTION  |  2025–AUJOURD’HUI</w:t>
      </w:r>
    </w:p>
    <w:p>
      <w:pPr>
        <w:pStyle w:val="Compact"/>
        <w:ind w:left="230" w:hanging="144"/>
      </w:pPr>
      <w:r>
        <w:rPr>
          <w:color w:val="20374B"/>
          <w:lang w:val="fr-FR"/>
        </w:rPr>
        <w:t xml:space="preserve">• </w:t>
      </w:r>
      <w:r>
        <w:rPr>
          <w:lang w:val="fr-FR"/>
        </w:rPr>
        <w:rPr>
          <w:rFonts w:ascii="Arial" w:hAnsi="Arial"/>
          <w:color w:val="242424"/>
          <w:sz w:val="18"/>
        </w:rPr>
        <w:t xml:space="preserve">Fondateur et dirigeant de Traducciones CDS S.L., spécialisée dans les traductions à forte valeur ajoutée dans les domaines juridique, financier et institutionnel.</w:t>
      </w:r>
    </w:p>
    <w:p>
      <w:pPr>
        <w:pStyle w:val="Compact"/>
        <w:ind w:left="230" w:hanging="144"/>
      </w:pPr>
      <w:r>
        <w:rPr>
          <w:color w:val="20374B"/>
          <w:lang w:val="fr-FR"/>
        </w:rPr>
        <w:t xml:space="preserve">• </w:t>
      </w:r>
      <w:r>
        <w:rPr>
          <w:lang w:val="fr-FR"/>
        </w:rPr>
        <w:rPr>
          <w:rFonts w:ascii="Arial" w:hAnsi="Arial"/>
          <w:color w:val="242424"/>
          <w:sz w:val="18"/>
        </w:rPr>
        <w:t xml:space="preserve">Dirigeant d’ADLOM TRAINING S.L. / 1a Calidad, société de traduction espagnole établie en 1999, disposant d’un portefeuille de clients solide, notamment en traduction assermentée.</w:t>
      </w:r>
    </w:p>
    <w:p>
      <w:pPr>
        <w:pStyle w:val="SmallHeading"/>
        <w:keepNext/>
        <w:spacing w:before="80"/>
      </w:pPr>
      <w:r>
        <w:rPr>
          <w:color w:val="242424"/>
          <w:lang w:val="fr-FR"/>
        </w:rPr>
        <w:t xml:space="preserve">EXPÉRIENCE PROFESSIONNELLE ANTÉRIEURE</w:t>
      </w:r>
    </w:p>
    <w:p>
      <w:pPr>
        <w:pStyle w:val="Compact"/>
      </w:pPr>
      <w:r>
        <w:rPr>
          <w:b/>
          <w:lang w:val="fr-FR"/>
        </w:rPr>
        <w:t xml:space="preserve">2013–2014  </w:t>
      </w:r>
      <w:r>
        <w:rPr>
          <w:lang w:val="fr-FR"/>
        </w:rPr>
        <w:rPr>
          <w:rFonts w:ascii="Arial" w:hAnsi="Arial"/>
          <w:color w:val="242424"/>
          <w:sz w:val="18"/>
        </w:rPr>
        <w:t xml:space="preserve">Chargé de mission Affaires publiques, OKTAL SAS (France) — développement commercial international et soutien dans le cadre d’appels d’offres.</w:t>
      </w:r>
    </w:p>
    <w:p>
      <w:pPr>
        <w:pStyle w:val="Compact"/>
      </w:pPr>
      <w:r>
        <w:rPr>
          <w:b/>
          <w:lang w:val="fr-FR"/>
        </w:rPr>
        <w:t xml:space="preserve">2009–2013  </w:t>
      </w:r>
      <w:r>
        <w:rPr>
          <w:lang w:val="fr-FR"/>
        </w:rPr>
        <w:rPr>
          <w:rFonts w:ascii="Arial" w:hAnsi="Arial"/>
          <w:color w:val="242424"/>
          <w:sz w:val="18"/>
        </w:rPr>
        <w:t xml:space="preserve">Consultant indépendant en marketing sportif (Espagne) — conseil, interprétation et accompagnement administratif d’agents sportifs français et de sportifs professionnels.</w:t>
      </w:r>
    </w:p>
    <w:p>
      <w:pPr>
        <w:pStyle w:val="SectionHeading"/>
        <w:keepNext/>
        <w:pBdr>
          <w:bottom w:val="single" w:sz="5" w:space="4" w:color="C9D0D5"/>
        </w:pBdr>
      </w:pPr>
      <w:r>
        <w:rPr>
          <w:lang w:val="fr-FR"/>
        </w:rPr>
        <w:rPr>
          <w:rFonts w:ascii="Arial" w:hAnsi="Arial"/>
          <w:color w:val="242424"/>
          <w:sz w:val="18"/>
        </w:rPr>
        <w:t xml:space="preserve">FORMATION ET QUALIFICATIONS PROFESSIONNELLES</w:t>
      </w: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tblBorders>
      </w:tblPr>
      <w:tblGrid>
        <w:gridCol w:w="1440"/>
        <w:gridCol w:w="8352"/>
      </w:tblGrid>
      <w:tr>
        <w:trPr>
          <w:cantSplit/>
        </w:trPr>
        <w:tc>
          <w:tcPr>
            <w:tcW w:type="dxa" w:w="5227"/>
            <w:tcMar>
              <w:top w:w="18" w:type="dxa"/>
              <w:start w:w="0" w:type="dxa"/>
              <w:bottom w:w="18" w:type="dxa"/>
              <w:end w:w="70" w:type="dxa"/>
            </w:tcMar>
          </w:tcPr>
          <w:p>
            <w:pPr>
              <w:pStyle w:val="Compact"/>
            </w:pPr>
            <w:r>
              <w:rPr>
                <w:b/>
                <w:color w:val="20374B"/>
                <w:lang w:val="fr-FR"/>
              </w:rPr>
              <w:t xml:space="preserve">2025–2026</w:t>
            </w:r>
          </w:p>
        </w:tc>
        <w:tc>
          <w:tcPr>
            <w:tcW w:type="dxa" w:w="5227"/>
            <w:tcMar>
              <w:top w:w="18" w:type="dxa"/>
              <w:start w:w="0" w:type="dxa"/>
              <w:bottom w:w="18" w:type="dxa"/>
              <w:end w:w="0" w:type="dxa"/>
            </w:tcMar>
          </w:tcPr>
          <w:p>
            <w:pPr>
              <w:pStyle w:val="Compact"/>
            </w:pPr>
            <w:r>
              <w:rPr>
                <w:lang w:val="fr-FR"/>
              </w:rPr>
              <w:t xml:space="preserve">Diplôme universitaire de juriste international — Université Lumière Lyon 2, France</w:t>
            </w:r>
          </w:p>
        </w:tc>
      </w:tr>
      <w:tr>
        <w:trPr>
          <w:cantSplit/>
        </w:trPr>
        <w:tc>
          <w:tcPr>
            <w:tcW w:type="dxa" w:w="5227"/>
            <w:tcMar>
              <w:top w:w="18" w:type="dxa"/>
              <w:start w:w="0" w:type="dxa"/>
              <w:bottom w:w="18" w:type="dxa"/>
              <w:end w:w="70" w:type="dxa"/>
            </w:tcMar>
          </w:tcPr>
          <w:p>
            <w:pPr>
              <w:pStyle w:val="Compact"/>
            </w:pPr>
            <w:r>
              <w:rPr>
                <w:b/>
                <w:color w:val="20374B"/>
                <w:lang w:val="fr-FR"/>
              </w:rPr>
              <w:t xml:space="preserve">2024–2025</w:t>
            </w:r>
          </w:p>
        </w:tc>
        <w:tc>
          <w:tcPr>
            <w:tcW w:type="dxa" w:w="5227"/>
            <w:tcMar>
              <w:top w:w="18" w:type="dxa"/>
              <w:start w:w="0" w:type="dxa"/>
              <w:bottom w:w="18" w:type="dxa"/>
              <w:end w:w="0" w:type="dxa"/>
            </w:tcMar>
          </w:tcPr>
          <w:p>
            <w:pPr>
              <w:pStyle w:val="Compact"/>
            </w:pPr>
            <w:r>
              <w:rPr>
                <w:lang w:val="fr-FR"/>
              </w:rPr>
              <w:t xml:space="preserve">Certificat de spécialisation en finance et comptabilité — Harvard Business School Online</w:t>
            </w:r>
          </w:p>
        </w:tc>
      </w:tr>
      <w:tr>
        <w:trPr>
          <w:cantSplit/>
        </w:trPr>
        <w:tc>
          <w:tcPr>
            <w:tcW w:type="dxa" w:w="5227"/>
            <w:tcMar>
              <w:top w:w="18" w:type="dxa"/>
              <w:start w:w="0" w:type="dxa"/>
              <w:bottom w:w="18" w:type="dxa"/>
              <w:end w:w="70" w:type="dxa"/>
            </w:tcMar>
          </w:tcPr>
          <w:p>
            <w:pPr>
              <w:pStyle w:val="Compact"/>
            </w:pPr>
            <w:r>
              <w:rPr>
                <w:b/>
                <w:color w:val="20374B"/>
                <w:lang w:val="fr-FR"/>
              </w:rPr>
              <w:t xml:space="preserve">2020–2021</w:t>
            </w:r>
          </w:p>
        </w:tc>
        <w:tc>
          <w:tcPr>
            <w:tcW w:type="dxa" w:w="5227"/>
            <w:tcMar>
              <w:top w:w="18" w:type="dxa"/>
              <w:start w:w="0" w:type="dxa"/>
              <w:bottom w:w="18" w:type="dxa"/>
              <w:end w:w="0" w:type="dxa"/>
            </w:tcMar>
          </w:tcPr>
          <w:p>
            <w:pPr>
              <w:pStyle w:val="Compact"/>
            </w:pPr>
            <w:r>
              <w:rPr>
                <w:lang w:val="fr-FR"/>
              </w:rPr>
              <w:t xml:space="preserve">Master en traduction institutionnelle — Université d’Alicante, Espagne</w:t>
            </w:r>
          </w:p>
        </w:tc>
      </w:tr>
      <w:tr>
        <w:trPr>
          <w:cantSplit/>
        </w:trPr>
        <w:tc>
          <w:tcPr>
            <w:tcW w:type="dxa" w:w="5227"/>
            <w:tcMar>
              <w:top w:w="18" w:type="dxa"/>
              <w:start w:w="0" w:type="dxa"/>
              <w:bottom w:w="18" w:type="dxa"/>
              <w:end w:w="70" w:type="dxa"/>
            </w:tcMar>
          </w:tcPr>
          <w:p>
            <w:pPr>
              <w:pStyle w:val="Compact"/>
            </w:pPr>
            <w:r>
              <w:rPr>
                <w:b/>
                <w:color w:val="20374B"/>
                <w:lang w:val="fr-FR"/>
              </w:rPr>
              <w:t xml:space="preserve">2003–2008</w:t>
            </w:r>
          </w:p>
        </w:tc>
        <w:tc>
          <w:tcPr>
            <w:tcW w:type="dxa" w:w="5227"/>
            <w:tcMar>
              <w:top w:w="18" w:type="dxa"/>
              <w:start w:w="0" w:type="dxa"/>
              <w:bottom w:w="18" w:type="dxa"/>
              <w:end w:w="0" w:type="dxa"/>
            </w:tcMar>
          </w:tcPr>
          <w:p>
            <w:pPr>
              <w:pStyle w:val="Compact"/>
            </w:pPr>
            <w:r>
              <w:rPr>
                <w:lang w:val="fr-FR"/>
              </w:rPr>
              <w:t xml:space="preserve">Diplôme de Sciences Po — cursus de 5 ans, diplôme de niveau Master</w:t>
            </w:r>
          </w:p>
        </w:tc>
      </w:tr>
      <w:tr>
        <w:trPr>
          <w:cantSplit/>
        </w:trPr>
        <w:tc>
          <w:tcPr>
            <w:tcW w:type="dxa" w:w="5227"/>
            <w:tcMar>
              <w:top w:w="18" w:type="dxa"/>
              <w:start w:w="0" w:type="dxa"/>
              <w:bottom w:w="18" w:type="dxa"/>
              <w:end w:w="70" w:type="dxa"/>
            </w:tcMar>
          </w:tcPr>
          <w:p>
            <w:pPr>
              <w:pStyle w:val="Compact"/>
            </w:pPr>
            <w:r>
              <w:rPr>
                <w:b/>
                <w:color w:val="20374B"/>
                <w:lang w:val="fr-FR"/>
              </w:rPr>
              <w:t xml:space="preserve">2024</w:t>
            </w:r>
          </w:p>
        </w:tc>
        <w:tc>
          <w:tcPr>
            <w:tcW w:type="dxa" w:w="5227"/>
            <w:tcMar>
              <w:top w:w="18" w:type="dxa"/>
              <w:start w:w="0" w:type="dxa"/>
              <w:bottom w:w="18" w:type="dxa"/>
              <w:end w:w="0" w:type="dxa"/>
            </w:tcMar>
          </w:tcPr>
          <w:p>
            <w:pPr>
              <w:pStyle w:val="Compact"/>
            </w:pPr>
            <w:r>
              <w:rPr>
                <w:lang w:val="fr-FR"/>
              </w:rPr>
              <w:t xml:space="preserve">Certificate in Translation (CertTrans), niveau 6, anglais → français — Chartered Institute of Linguists</w:t>
            </w:r>
          </w:p>
        </w:tc>
      </w:tr>
      <w:tr>
        <w:trPr>
          <w:cantSplit/>
        </w:trPr>
        <w:tc>
          <w:tcPr>
            <w:tcW w:type="dxa" w:w="5227"/>
            <w:tcMar>
              <w:top w:w="18" w:type="dxa"/>
              <w:start w:w="0" w:type="dxa"/>
              <w:bottom w:w="18" w:type="dxa"/>
              <w:end w:w="70" w:type="dxa"/>
            </w:tcMar>
          </w:tcPr>
          <w:p>
            <w:pPr>
              <w:pStyle w:val="Compact"/>
            </w:pPr>
            <w:r>
              <w:rPr>
                <w:b/>
                <w:color w:val="20374B"/>
                <w:lang w:val="fr-FR"/>
              </w:rPr>
              <w:t xml:space="preserve">2024</w:t>
            </w:r>
          </w:p>
        </w:tc>
        <w:tc>
          <w:tcPr>
            <w:tcW w:type="dxa" w:w="5227"/>
            <w:tcMar>
              <w:top w:w="18" w:type="dxa"/>
              <w:start w:w="0" w:type="dxa"/>
              <w:bottom w:w="18" w:type="dxa"/>
              <w:end w:w="0" w:type="dxa"/>
            </w:tcMar>
          </w:tcPr>
          <w:p>
            <w:pPr>
              <w:pStyle w:val="Compact"/>
            </w:pPr>
            <w:r>
              <w:rPr>
                <w:lang w:val="fr-FR"/>
              </w:rPr>
              <w:t xml:space="preserve">Test of Legal English Skills (TOLES), niveau avancé — note : 81</w:t>
            </w:r>
          </w:p>
        </w:tc>
      </w:tr>
      <w:tr>
        <w:trPr>
          <w:cantSplit/>
        </w:trPr>
        <w:tc>
          <w:tcPr>
            <w:tcW w:type="dxa" w:w="5227"/>
            <w:tcMar>
              <w:top w:w="18" w:type="dxa"/>
              <w:start w:w="0" w:type="dxa"/>
              <w:bottom w:w="18" w:type="dxa"/>
              <w:end w:w="70" w:type="dxa"/>
            </w:tcMar>
          </w:tcPr>
          <w:p>
            <w:pPr>
              <w:pStyle w:val="Compact"/>
            </w:pPr>
            <w:r>
              <w:rPr>
                <w:b/>
                <w:color w:val="20374B"/>
                <w:lang w:val="fr-FR"/>
              </w:rPr>
              <w:t xml:space="preserve">2021</w:t>
            </w:r>
          </w:p>
        </w:tc>
        <w:tc>
          <w:tcPr>
            <w:tcW w:type="dxa" w:w="5227"/>
            <w:tcMar>
              <w:top w:w="18" w:type="dxa"/>
              <w:start w:w="0" w:type="dxa"/>
              <w:bottom w:w="18" w:type="dxa"/>
              <w:end w:w="0" w:type="dxa"/>
            </w:tcMar>
          </w:tcPr>
          <w:p>
            <w:pPr>
              <w:pStyle w:val="Compact"/>
            </w:pPr>
            <w:r>
              <w:rPr>
                <w:lang w:val="fr-FR"/>
              </w:rPr>
              <w:t xml:space="preserve">DELE C2 — Diplôme d’espagnol langue étrangère, Instituto Cervantes</w:t>
            </w:r>
          </w:p>
        </w:tc>
      </w:tr>
    </w:tbl>
    <w:p>
      <w:pPr>
        <w:pStyle w:val="SectionHeading"/>
        <w:keepNext/>
        <w:pBdr>
          <w:bottom w:val="single" w:sz="5" w:space="4" w:color="C9D0D5"/>
        </w:pBdr>
      </w:pPr>
      <w:r>
        <w:rPr>
          <w:lang w:val="fr-FR"/>
        </w:rPr>
        <w:rPr>
          <w:rFonts w:ascii="Arial" w:hAnsi="Arial"/>
          <w:color w:val="242424"/>
          <w:sz w:val="18"/>
        </w:rPr>
        <w:t xml:space="preserve">ASSOCIATIONS PROFESSIONNELLES ET OUTILS</w:t>
      </w:r>
    </w:p>
    <w:p>
      <w:pPr>
        <w:pStyle w:val="Compact"/>
      </w:pPr>
      <w:r>
        <w:rPr>
          <w:b/>
          <w:lang w:val="fr-FR"/>
        </w:rPr>
        <w:t xml:space="preserve">Associations : </w:t>
      </w:r>
      <w:r>
        <w:rPr>
          <w:lang w:val="fr-FR"/>
        </w:rPr>
        <w:rPr>
          <w:rFonts w:ascii="Arial" w:hAnsi="Arial"/>
          <w:color w:val="242424"/>
          <w:sz w:val="18"/>
        </w:rPr>
        <w:t xml:space="preserve">Chartered Institute of Linguists (CIOL) · ASETRAD · APTIJ</w:t>
      </w:r>
    </w:p>
    <w:p>
      <w:pPr>
        <w:pStyle w:val="Compact"/>
      </w:pPr>
      <w:r>
        <w:rPr>
          <w:b/>
          <w:lang w:val="fr-FR"/>
        </w:rPr>
        <w:t xml:space="preserve">Mentorat : </w:t>
      </w:r>
      <w:r>
        <w:rPr>
          <w:lang w:val="fr-FR"/>
        </w:rPr>
        <w:rPr>
          <w:rFonts w:ascii="Arial" w:hAnsi="Arial"/>
          <w:color w:val="242424"/>
          <w:sz w:val="18"/>
        </w:rPr>
        <w:t xml:space="preserve">Mentor de traducteurs auprès d’ASETRAD et de la Société française des traducteurs (SFT)</w:t>
      </w:r>
    </w:p>
    <w:p>
      <w:pPr>
        <w:pStyle w:val="Compact"/>
      </w:pPr>
      <w:r>
        <w:rPr>
          <w:b/>
          <w:lang w:val="fr-FR"/>
        </w:rPr>
        <w:t xml:space="preserve">TAO et flux de travail : </w:t>
      </w:r>
      <w:r>
        <w:rPr>
          <w:lang w:val="fr-FR"/>
        </w:rPr>
        <w:rPr>
          <w:rFonts w:ascii="Arial" w:hAnsi="Arial"/>
          <w:color w:val="242424"/>
          <w:sz w:val="18"/>
        </w:rPr>
        <w:t xml:space="preserve">Trados Studio 2024 ; expérience des mémoires de traduction, bases terminologiques, documents de référence clients et guides de style institutionnels</w:t>
      </w:r>
    </w:p>
    <w:p>
      <w:pPr>
        <w:pStyle w:val="SectionHeading"/>
        <w:keepNext/>
        <w:pBdr>
          <w:bottom w:val="single" w:sz="5" w:space="4" w:color="C9D0D5"/>
        </w:pBdr>
      </w:pPr>
      <w:r>
        <w:rPr>
          <w:lang w:val="fr-FR"/>
        </w:rPr>
        <w:rPr>
          <w:rFonts w:ascii="Arial" w:hAnsi="Arial"/>
          <w:color w:val="242424"/>
          <w:sz w:val="18"/>
        </w:rPr>
        <w:t xml:space="preserve">TRAVAUX PUBLIÉS — SÉLECTION</w:t>
      </w:r>
    </w:p>
    <w:p>
      <w:pPr>
        <w:pStyle w:val="Compact"/>
        <w:ind w:left="202" w:hanging="144"/>
      </w:pPr>
      <w:r>
        <w:rPr>
          <w:color w:val="20374B"/>
          <w:lang w:val="fr-FR"/>
        </w:rPr>
        <w:t xml:space="preserve">• </w:t>
      </w:r>
      <w:hyperlink r:id="rId12">
        <w:r>
          <w:rPr>
            <w:color w:val="20374B"/>
            <w:u w:val="single"/>
            <w:rFonts w:ascii="Arial" w:hAnsi="Arial"/>
            <w:sz w:val="18"/>
            <w:lang w:val="fr-FR"/>
          </w:rPr>
          <w:t xml:space="preserve">Études économiques de l’OCDE : Union européenne et zone euro 2025</w:t>
        </w:r>
      </w:hyperlink>
      <w:r>
        <w:rPr>
          <w:lang w:val="fr-FR"/>
        </w:rPr>
        <w:rPr>
          <w:rFonts w:ascii="Arial" w:hAnsi="Arial"/>
          <w:color w:val="242424"/>
          <w:sz w:val="18"/>
        </w:rPr>
        <w:t xml:space="preserve"> — contribution à la traduction, p. 34–68.</w:t>
      </w:r>
    </w:p>
    <w:p>
      <w:pPr>
        <w:pStyle w:val="Compact"/>
        <w:ind w:left="202" w:hanging="144"/>
      </w:pPr>
      <w:r>
        <w:rPr>
          <w:color w:val="20374B"/>
          <w:lang w:val="fr-FR"/>
        </w:rPr>
        <w:t xml:space="preserve">• </w:t>
      </w:r>
      <w:hyperlink r:id="rId13">
        <w:r>
          <w:rPr>
            <w:color w:val="20374B"/>
            <w:u w:val="single"/>
            <w:rFonts w:ascii="Arial" w:hAnsi="Arial"/>
            <w:sz w:val="18"/>
            <w:lang w:val="fr-FR"/>
          </w:rPr>
          <w:t xml:space="preserve">Études économiques de l’OCDE : Luxembourg 2025</w:t>
        </w:r>
      </w:hyperlink>
      <w:r>
        <w:rPr>
          <w:lang w:val="fr-FR"/>
        </w:rPr>
        <w:rPr>
          <w:rFonts w:ascii="Arial" w:hAnsi="Arial"/>
          <w:color w:val="242424"/>
          <w:sz w:val="18"/>
        </w:rPr>
        <w:t xml:space="preserve"> — contribution à la traduction, chapitres 2 et 4.</w:t>
      </w:r>
    </w:p>
    <w:p>
      <w:pPr>
        <w:pStyle w:val="Compact"/>
        <w:ind w:left="202" w:hanging="144"/>
      </w:pPr>
      <w:r>
        <w:rPr>
          <w:color w:val="20374B"/>
          <w:lang w:val="fr-FR"/>
        </w:rPr>
        <w:t xml:space="preserve">• </w:t>
      </w:r>
      <w:hyperlink r:id="rId14">
        <w:r>
          <w:rPr>
            <w:color w:val="20374B"/>
            <w:u w:val="single"/>
            <w:rFonts w:ascii="Arial" w:hAnsi="Arial"/>
            <w:sz w:val="18"/>
            <w:lang w:val="fr-FR"/>
          </w:rPr>
          <w:t xml:space="preserve">CIJ : Exposé écrit de l’Agence des pêches du Forum</w:t>
        </w:r>
      </w:hyperlink>
      <w:r>
        <w:rPr>
          <w:lang w:val="fr-FR"/>
        </w:rPr>
        <w:rPr>
          <w:rFonts w:ascii="Arial" w:hAnsi="Arial"/>
          <w:color w:val="242424"/>
          <w:sz w:val="18"/>
        </w:rPr>
        <w:t xml:space="preserve"> — traduction anglais-français pour le Greffe.</w:t>
      </w:r>
    </w:p>
    <w:p>
      <w:pPr>
        <w:pStyle w:val="Compact"/>
        <w:spacing w:before="40"/>
      </w:pPr>
      <w:r>
        <w:rPr>
          <w:b/>
          <w:lang w:val="fr-FR"/>
        </w:rPr>
        <w:t xml:space="preserve">Publication : </w:t>
      </w:r>
      <w:r>
        <w:rPr>
          <w:lang w:val="fr-FR"/>
        </w:rPr>
        <w:rPr>
          <w:rFonts w:ascii="Arial" w:hAnsi="Arial"/>
          <w:color w:val="242424"/>
          <w:sz w:val="18"/>
        </w:rPr>
        <w:t xml:space="preserve">Traduction française de Corinne McKay, Finding and Marketing to Translation Agencies: A Practical Guide for Freelance Translators.</w:t>
      </w:r>
    </w:p>
    <w:sectPr w:rsidR="00FC693F" w:rsidRPr="0006063C" w:rsidSect="00034616">
      <w:footerReference w:type="default" r:id="rId15"/>
      <w:pgSz w:w="12240" w:h="15840"/>
      <w:pgMar w:top="749"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Bdr>
        <w:top w:val="single" w:sz="4" w:space="3" w:color="D5DADF"/>
      </w:pBdr>
    </w:pPr>
    <w:r>
      <w:rPr>
        <w:rFonts w:ascii="Arial" w:hAnsi="Arial"/>
        <w:color w:val="5A5A5A"/>
        <w:sz w:val="15"/>
      </w:rPr>
      <w:t>ANTOINE ROBARDEY  ·  FRENCHTRANSLATORPRO.COM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color w:val="24242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spacing w:before="150" w:after="70" w:line="240" w:lineRule="auto"/>
    </w:pPr>
    <w:rPr>
      <w:rFonts w:ascii="Arial" w:hAnsi="Arial"/>
      <w:b/>
      <w:color w:val="20374B"/>
      <w:sz w:val="20"/>
    </w:rPr>
  </w:style>
  <w:style w:type="paragraph" w:customStyle="1" w:styleId="SmallHeading">
    <w:name w:val="Small Heading"/>
    <w:pPr>
      <w:spacing w:before="50" w:after="0" w:line="240" w:lineRule="auto"/>
    </w:pPr>
    <w:rPr>
      <w:rFonts w:ascii="Arial" w:hAnsi="Arial"/>
      <w:b/>
      <w:color w:val="242424"/>
      <w:sz w:val="19"/>
    </w:rPr>
  </w:style>
  <w:style w:type="paragraph" w:customStyle="1" w:styleId="Compact">
    <w:name w:val="Compact"/>
    <w:pPr>
      <w:spacing w:before="0" w:after="30" w:line="240" w:lineRule="auto"/>
    </w:pPr>
    <w:rPr>
      <w:rFonts w:ascii="Arial" w:hAnsi="Arial"/>
      <w:b w:val="0"/>
      <w:color w:val="242424"/>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pro.artrad@gmail.com" TargetMode="External"/><Relationship Id="rId10" Type="http://schemas.openxmlformats.org/officeDocument/2006/relationships/hyperlink" Target="https://frenchtranslatorpro.com/" TargetMode="External"/><Relationship Id="rId11" Type="http://schemas.openxmlformats.org/officeDocument/2006/relationships/hyperlink" Target="https://www.linkedin.com/in/antoine-robardey-frenchtranslator/" TargetMode="External"/><Relationship Id="rId12" Type="http://schemas.openxmlformats.org/officeDocument/2006/relationships/hyperlink" Target="https://www.oecd.org/content/dam/oecd/fr/publications/reports/2025/07/oecd-economic-surveys-european-union-and-euro-area-2025_af6b738a/aaeb464b-fr.pdf" TargetMode="External"/><Relationship Id="rId13" Type="http://schemas.openxmlformats.org/officeDocument/2006/relationships/hyperlink" Target="https://www.oecd.org/fr/publications/etudes-economiques-de-l-ocde-luxembourg-2025_18720180-fr/" TargetMode="External"/><Relationship Id="rId14" Type="http://schemas.openxmlformats.org/officeDocument/2006/relationships/hyperlink" Target="https://www.icj-cij.org/sites/default/files/case-related/187/187-20240315-wri-04-00-fr.pdf"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Antoine Robardey - CV for ProZ</dc:title>
  <dc:subject>French translator - legal, financial, institutional and sworn translation</dc:subject>
  <dc:creator>Antoine Robardey</dc:creator>
  <cp:keywords>French translator, legal translation, financial translation, institutional translation, sworn translator</cp:keywords>
  <dc:description>generated by python-docx</dc:description>
  <cp:lastModifiedBy/>
  <cp:revision>1</cp:revision>
  <dcterms:created xsi:type="dcterms:W3CDTF">2013-12-23T23:15:00Z</dcterms:created>
  <dcterms:modified xsi:type="dcterms:W3CDTF">2013-12-23T23:15:00Z</dcterms:modified>
  <cp:category/>
</cp:coreProperties>
</file>