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5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37"/>
        <w:gridCol w:w="5943"/>
        <w:gridCol w:w="10"/>
      </w:tblGrid>
      <w:tr w:rsidR="00892E84">
        <w:trPr>
          <w:trHeight w:val="1251"/>
        </w:trPr>
        <w:tc>
          <w:tcPr>
            <w:tcW w:w="4497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Célia RAMAIN</w:t>
            </w:r>
          </w:p>
          <w:p w:rsidR="00892E84" w:rsidRDefault="000F0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E3187">
              <w:rPr>
                <w:rFonts w:ascii="Arial" w:hAnsi="Arial" w:cs="Arial"/>
                <w:sz w:val="22"/>
                <w:szCs w:val="22"/>
              </w:rPr>
              <w:t>ter rue du Foyer Versaillais</w:t>
            </w:r>
            <w:bookmarkStart w:id="0" w:name="_GoBack"/>
            <w:bookmarkEnd w:id="0"/>
          </w:p>
          <w:p w:rsidR="00892E84" w:rsidRDefault="00892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78000 Versailles</w:t>
            </w:r>
          </w:p>
          <w:p w:rsidR="006757FB" w:rsidRDefault="006757FB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E84" w:rsidRDefault="00892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06.13.79.43.98</w:t>
            </w:r>
          </w:p>
        </w:tc>
        <w:tc>
          <w:tcPr>
            <w:tcW w:w="5953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Née le 17 février 1981 à Paris (15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92E84" w:rsidRDefault="00892E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Permis B</w:t>
            </w:r>
          </w:p>
          <w:p w:rsidR="006757FB" w:rsidRDefault="006757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92E84" w:rsidRDefault="006D6477" w:rsidP="001762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1B64F2" w:rsidRPr="00843C7A">
                <w:rPr>
                  <w:rStyle w:val="Lienhypertexte"/>
                  <w:rFonts w:ascii="Arial" w:hAnsi="Arial"/>
                </w:rPr>
                <w:t>tradissima@gmail.com</w:t>
              </w:r>
            </w:hyperlink>
          </w:p>
        </w:tc>
      </w:tr>
      <w:tr w:rsidR="00892E84" w:rsidTr="000F0C0F">
        <w:trPr>
          <w:gridAfter w:val="1"/>
          <w:wAfter w:w="10" w:type="dxa"/>
          <w:trHeight w:hRule="exact" w:val="1279"/>
        </w:trPr>
        <w:tc>
          <w:tcPr>
            <w:tcW w:w="10440" w:type="dxa"/>
            <w:gridSpan w:val="3"/>
            <w:vAlign w:val="center"/>
          </w:tcPr>
          <w:p w:rsidR="00892E84" w:rsidRDefault="00892E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TRADUCT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>RICE</w:t>
            </w:r>
            <w:r w:rsidR="000F0C0F">
              <w:rPr>
                <w:rFonts w:ascii="Arial" w:hAnsi="Arial" w:cs="Arial"/>
                <w:b/>
                <w:bCs/>
                <w:sz w:val="28"/>
                <w:szCs w:val="28"/>
              </w:rPr>
              <w:t>/RELECTRICE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ANGLAIS / ALLEMAND</w:t>
            </w:r>
            <w:r w:rsidR="006B3D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/ITALIEN</w:t>
            </w:r>
            <w:r w:rsidR="000545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→ </w:t>
            </w:r>
            <w:r w:rsidR="000F0C0F">
              <w:rPr>
                <w:rFonts w:ascii="Arial" w:hAnsi="Arial" w:cs="Arial"/>
                <w:b/>
                <w:bCs/>
                <w:sz w:val="28"/>
                <w:szCs w:val="28"/>
              </w:rPr>
              <w:t>FRANÇAIS</w:t>
            </w:r>
          </w:p>
          <w:p w:rsidR="00892E84" w:rsidRPr="006757FB" w:rsidRDefault="00892E84" w:rsidP="006757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E84">
        <w:trPr>
          <w:gridAfter w:val="1"/>
          <w:wAfter w:w="10" w:type="dxa"/>
          <w:trHeight w:val="452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FORMATION</w:t>
            </w:r>
          </w:p>
        </w:tc>
      </w:tr>
      <w:tr w:rsidR="005F7E52">
        <w:trPr>
          <w:gridAfter w:val="1"/>
          <w:wAfter w:w="10" w:type="dxa"/>
          <w:trHeight w:val="131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52">
        <w:trPr>
          <w:gridAfter w:val="1"/>
          <w:wAfter w:w="10" w:type="dxa"/>
          <w:trHeight w:val="494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2006-2007</w:t>
            </w:r>
          </w:p>
        </w:tc>
        <w:tc>
          <w:tcPr>
            <w:tcW w:w="8280" w:type="dxa"/>
            <w:gridSpan w:val="2"/>
            <w:vAlign w:val="center"/>
          </w:tcPr>
          <w:p w:rsidR="005F7E52" w:rsidRP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Master 2 Traduction Spécialisée, </w:t>
            </w:r>
            <w:r w:rsidR="00961E59">
              <w:rPr>
                <w:rFonts w:ascii="Arial" w:hAnsi="Arial" w:cs="Arial"/>
                <w:sz w:val="18"/>
                <w:szCs w:val="18"/>
              </w:rPr>
              <w:t>université de Marne-la-</w:t>
            </w:r>
            <w:r>
              <w:rPr>
                <w:rFonts w:ascii="Arial" w:hAnsi="Arial" w:cs="Arial"/>
                <w:sz w:val="18"/>
                <w:szCs w:val="18"/>
              </w:rPr>
              <w:t>Vallée. Rédaction d’un glossaire français-anglais sur l’architecture religieuse. Obtention en novembre 2007 avec mention bien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2002-2005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 1 LLCE Anglais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 université de Versailles Saint-Quentin-en-</w:t>
            </w:r>
            <w:r>
              <w:rPr>
                <w:rFonts w:ascii="Arial" w:hAnsi="Arial" w:cs="Arial"/>
                <w:sz w:val="18"/>
                <w:szCs w:val="18"/>
              </w:rPr>
              <w:t>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2001-2002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08"/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Licence LLCE Anglais</w:t>
            </w:r>
            <w:r>
              <w:rPr>
                <w:rFonts w:ascii="Arial" w:hAnsi="Arial" w:cs="Arial"/>
                <w:sz w:val="18"/>
                <w:szCs w:val="18"/>
              </w:rPr>
              <w:t xml:space="preserve">, université de Versailles </w:t>
            </w:r>
            <w:r w:rsidR="00961E59">
              <w:rPr>
                <w:rFonts w:ascii="Arial" w:hAnsi="Arial" w:cs="Arial"/>
                <w:sz w:val="18"/>
                <w:szCs w:val="18"/>
              </w:rPr>
              <w:t>Saint-Quentin-en-Yvelines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1999-2001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DEUG LLCE Anglais</w:t>
            </w:r>
            <w:r>
              <w:rPr>
                <w:rFonts w:ascii="Arial" w:hAnsi="Arial" w:cs="Arial"/>
                <w:sz w:val="18"/>
                <w:szCs w:val="18"/>
              </w:rPr>
              <w:t xml:space="preserve">, université de Versailles </w:t>
            </w:r>
            <w:r w:rsidR="00961E59">
              <w:rPr>
                <w:rFonts w:ascii="Arial" w:hAnsi="Arial" w:cs="Arial"/>
                <w:sz w:val="18"/>
                <w:szCs w:val="18"/>
              </w:rPr>
              <w:t>Saint-Quentin-en-Yvelines</w:t>
            </w:r>
          </w:p>
        </w:tc>
      </w:tr>
      <w:tr w:rsidR="00892E84">
        <w:trPr>
          <w:gridAfter w:val="1"/>
          <w:wAfter w:w="10" w:type="dxa"/>
          <w:trHeight w:val="34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1998</w:t>
            </w: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90"/>
                <w:tab w:val="left" w:pos="43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Baccalauréat Littéraire spécialité langues</w:t>
            </w:r>
            <w:r>
              <w:rPr>
                <w:rFonts w:ascii="Arial" w:hAnsi="Arial" w:cs="Arial"/>
                <w:sz w:val="18"/>
                <w:szCs w:val="18"/>
              </w:rPr>
              <w:t xml:space="preserve">, lycée </w:t>
            </w:r>
            <w:smartTag w:uri="urn:schemas-microsoft-com:office:smarttags" w:element="PersonName">
              <w:smartTagPr>
                <w:attr w:name="ProductID" w:val="La Bruy￨re"/>
              </w:smartTagPr>
              <w:r>
                <w:rPr>
                  <w:rFonts w:ascii="Arial" w:hAnsi="Arial" w:cs="Arial"/>
                  <w:sz w:val="18"/>
                  <w:szCs w:val="18"/>
                </w:rPr>
                <w:t>La Bruyère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Versailles</w:t>
            </w:r>
          </w:p>
        </w:tc>
      </w:tr>
      <w:tr w:rsidR="00892E84">
        <w:trPr>
          <w:gridAfter w:val="1"/>
          <w:wAfter w:w="10" w:type="dxa"/>
          <w:trHeight w:val="211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892E84" w:rsidRDefault="00892E84">
            <w:pPr>
              <w:tabs>
                <w:tab w:val="left" w:pos="290"/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2E84" w:rsidRPr="00082E21">
        <w:trPr>
          <w:gridAfter w:val="1"/>
          <w:wAfter w:w="10" w:type="dxa"/>
          <w:trHeight w:val="411"/>
        </w:trPr>
        <w:tc>
          <w:tcPr>
            <w:tcW w:w="2160" w:type="dxa"/>
            <w:shd w:val="clear" w:color="auto" w:fill="C0C0C0"/>
            <w:vAlign w:val="center"/>
          </w:tcPr>
          <w:p w:rsidR="00082E21" w:rsidRPr="00082E21" w:rsidRDefault="00082E21" w:rsidP="004E256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054561" w:rsidRPr="00082E21" w:rsidRDefault="00082E21" w:rsidP="00082E2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</w:t>
            </w:r>
            <w:r w:rsidR="00961E59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>RIENCES EN TRADUCTION</w:t>
            </w:r>
          </w:p>
        </w:tc>
      </w:tr>
      <w:tr w:rsidR="00755B41" w:rsidRPr="00B01A41">
        <w:trPr>
          <w:gridAfter w:val="1"/>
          <w:wAfter w:w="10" w:type="dxa"/>
          <w:trHeight w:val="80"/>
        </w:trPr>
        <w:tc>
          <w:tcPr>
            <w:tcW w:w="2160" w:type="dxa"/>
            <w:shd w:val="clear" w:color="auto" w:fill="C0C0C0"/>
            <w:vAlign w:val="center"/>
          </w:tcPr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Janv.2013</w:t>
            </w: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6A" w:rsidRDefault="004E256A" w:rsidP="0054665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5B41" w:rsidRDefault="000F0C0F" w:rsidP="0054665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Oct. 2008 </w:t>
            </w:r>
            <w:r w:rsidR="005466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Déc.2012</w:t>
            </w:r>
          </w:p>
        </w:tc>
        <w:tc>
          <w:tcPr>
            <w:tcW w:w="8280" w:type="dxa"/>
            <w:gridSpan w:val="2"/>
            <w:vAlign w:val="center"/>
          </w:tcPr>
          <w:p w:rsidR="00DD5651" w:rsidRDefault="00DD5651" w:rsidP="00DD56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651" w:rsidRDefault="004E256A" w:rsidP="00DD565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Création de l’EURL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Tradissima</w:t>
            </w:r>
            <w:proofErr w:type="spellEnd"/>
            <w:r w:rsidR="00DD5651" w:rsidRPr="00DD5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425E" w:rsidRDefault="001B64F2" w:rsidP="006F42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Gérante/t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raductrice/relectrice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: traduction quotidienne de textes techniques (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informatique,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automobile</w:t>
            </w:r>
            <w:r w:rsidR="006F425E">
              <w:rPr>
                <w:rFonts w:ascii="Arial" w:hAnsi="Arial" w:cs="Arial"/>
                <w:sz w:val="18"/>
                <w:szCs w:val="18"/>
              </w:rPr>
              <w:t>, technique médical</w:t>
            </w:r>
            <w:r w:rsidR="004E256A">
              <w:rPr>
                <w:rFonts w:ascii="Arial" w:hAnsi="Arial" w:cs="Arial"/>
                <w:sz w:val="18"/>
                <w:szCs w:val="18"/>
              </w:rPr>
              <w:t>, brevets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 xml:space="preserve">ou de documents plus rédactionnels (marketing, </w:t>
            </w:r>
            <w:r w:rsidR="006D6607">
              <w:rPr>
                <w:rFonts w:ascii="Arial" w:hAnsi="Arial" w:cs="Arial"/>
                <w:sz w:val="18"/>
                <w:szCs w:val="18"/>
              </w:rPr>
              <w:t xml:space="preserve">tourisme, </w:t>
            </w:r>
            <w:r w:rsidR="006F425E">
              <w:rPr>
                <w:rFonts w:ascii="Arial" w:hAnsi="Arial" w:cs="Arial"/>
                <w:sz w:val="18"/>
                <w:szCs w:val="18"/>
              </w:rPr>
              <w:t xml:space="preserve">cosmétiques, 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>communiqués de presse)</w:t>
            </w:r>
            <w:r w:rsidR="006D6607">
              <w:rPr>
                <w:rFonts w:ascii="Arial" w:hAnsi="Arial" w:cs="Arial"/>
                <w:sz w:val="18"/>
                <w:szCs w:val="18"/>
              </w:rPr>
              <w:t xml:space="preserve"> depuis l’anglais, </w:t>
            </w:r>
            <w:r w:rsidR="006F425E">
              <w:rPr>
                <w:rFonts w:ascii="Arial" w:hAnsi="Arial" w:cs="Arial"/>
                <w:sz w:val="18"/>
                <w:szCs w:val="18"/>
              </w:rPr>
              <w:t>l’allemand</w:t>
            </w:r>
            <w:r w:rsidR="006D6607">
              <w:rPr>
                <w:rFonts w:ascii="Arial" w:hAnsi="Arial" w:cs="Arial"/>
                <w:sz w:val="18"/>
                <w:szCs w:val="18"/>
              </w:rPr>
              <w:t xml:space="preserve"> et l’italien</w:t>
            </w:r>
            <w:r w:rsidR="006F425E">
              <w:rPr>
                <w:rFonts w:ascii="Arial" w:hAnsi="Arial" w:cs="Arial"/>
                <w:sz w:val="18"/>
                <w:szCs w:val="18"/>
              </w:rPr>
              <w:t>,</w:t>
            </w:r>
            <w:r w:rsidR="006F425E" w:rsidRPr="006426C6">
              <w:rPr>
                <w:rFonts w:ascii="Arial" w:hAnsi="Arial" w:cs="Arial"/>
                <w:sz w:val="18"/>
                <w:szCs w:val="18"/>
              </w:rPr>
              <w:t xml:space="preserve"> relectures variées</w:t>
            </w:r>
            <w:r w:rsidR="006F42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59A3" w:rsidRDefault="00A759A3" w:rsidP="006F42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Traductions médicales et techniques pour des clients tels que General Electric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Bbraun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traductions médicales plus généralistes pour des laboratoires tels que Boiron,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Vetoquinol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Guerbet</w:t>
            </w:r>
            <w:proofErr w:type="spellEnd"/>
            <w:r w:rsidR="002D17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Bausch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Traductions sur des problématiques liées aux femmes, à leur éducation et à leur responsabilisation pour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Women’s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Forum. </w:t>
            </w:r>
          </w:p>
          <w:p w:rsidR="000F0C0F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5B41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Boulogne-Billancourt</w:t>
            </w:r>
          </w:p>
          <w:p w:rsidR="000F0C0F" w:rsidRDefault="000F0C0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 de traductrice/relectrice</w:t>
            </w:r>
            <w:r w:rsidR="004E256A">
              <w:rPr>
                <w:rFonts w:ascii="Arial" w:hAnsi="Arial" w:cs="Arial"/>
                <w:sz w:val="18"/>
                <w:szCs w:val="18"/>
              </w:rPr>
              <w:t>, responsable pôle Traduction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6C6">
              <w:rPr>
                <w:rFonts w:ascii="Arial" w:hAnsi="Arial" w:cs="Arial"/>
                <w:sz w:val="18"/>
                <w:szCs w:val="18"/>
              </w:rPr>
              <w:t>(CDI) : traduction quotidienne de textes techniques (aéronautique, automobile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426C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426C6">
              <w:rPr>
                <w:rFonts w:ascii="Arial" w:hAnsi="Arial" w:cs="Arial"/>
                <w:sz w:val="18"/>
                <w:szCs w:val="18"/>
              </w:rPr>
              <w:t xml:space="preserve">), normatifs ou de documents plus rédactionnels (marketing, </w:t>
            </w:r>
            <w:r>
              <w:rPr>
                <w:rFonts w:ascii="Arial" w:hAnsi="Arial" w:cs="Arial"/>
                <w:sz w:val="18"/>
                <w:szCs w:val="18"/>
              </w:rPr>
              <w:t xml:space="preserve">cosmétiques, </w:t>
            </w:r>
            <w:r w:rsidRPr="006426C6">
              <w:rPr>
                <w:rFonts w:ascii="Arial" w:hAnsi="Arial" w:cs="Arial"/>
                <w:sz w:val="18"/>
                <w:szCs w:val="18"/>
              </w:rPr>
              <w:t>communiqués de presse), relectures variées</w:t>
            </w:r>
            <w:r>
              <w:rPr>
                <w:rFonts w:ascii="Arial" w:hAnsi="Arial" w:cs="Arial"/>
                <w:sz w:val="18"/>
                <w:szCs w:val="18"/>
              </w:rPr>
              <w:t xml:space="preserve"> également depuis l’italien.</w:t>
            </w:r>
            <w:r w:rsidR="004E256A">
              <w:rPr>
                <w:rFonts w:ascii="Arial" w:hAnsi="Arial" w:cs="Arial"/>
                <w:sz w:val="18"/>
                <w:szCs w:val="18"/>
              </w:rPr>
              <w:t xml:space="preserve"> Gestion de l’équipe de traducteurs, participations aux réunions de direction, management, recrutement.</w:t>
            </w:r>
          </w:p>
          <w:p w:rsidR="000F0C0F" w:rsidRPr="00B01A41" w:rsidRDefault="000F0C0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5B41" w:rsidRPr="00B01A41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755B41" w:rsidRPr="006426C6" w:rsidRDefault="000F0C0F" w:rsidP="000F0C0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Oct. 2007-Oct. 2008</w:t>
            </w:r>
          </w:p>
        </w:tc>
        <w:tc>
          <w:tcPr>
            <w:tcW w:w="8280" w:type="dxa"/>
            <w:gridSpan w:val="2"/>
            <w:vAlign w:val="center"/>
          </w:tcPr>
          <w:p w:rsidR="00755B41" w:rsidRPr="006426C6" w:rsidRDefault="009D57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LCI, Jouy-en-Josas</w:t>
            </w:r>
          </w:p>
          <w:p w:rsidR="009D57E2" w:rsidRPr="006426C6" w:rsidRDefault="00AB28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Poste de traductrice technique (CDI) : gestion de projets, gestion de la base fournisseurs, traduction quotidienne de textes techniques (aéronautique, automobile</w:t>
            </w:r>
            <w:r w:rsidR="00961E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426C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426C6">
              <w:rPr>
                <w:rFonts w:ascii="Arial" w:hAnsi="Arial" w:cs="Arial"/>
                <w:sz w:val="18"/>
                <w:szCs w:val="18"/>
              </w:rPr>
              <w:t>), normatifs ou de documents plus rédactionnels (marketing, communiqués de presse), relectures variées</w:t>
            </w:r>
          </w:p>
        </w:tc>
      </w:tr>
      <w:tr w:rsidR="00954A97" w:rsidRPr="00B01A41">
        <w:trPr>
          <w:gridAfter w:val="1"/>
          <w:wAfter w:w="10" w:type="dxa"/>
          <w:trHeight w:val="868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6426C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Février-Juin 2007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B01A4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Textra, Paris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Stage de 4 mois : nombreuses traductions techniques, financières et juridiques, relectures, gestion de projets, élaboration de devis et factures</w:t>
            </w:r>
          </w:p>
        </w:tc>
      </w:tr>
      <w:tr w:rsidR="00954A97" w:rsidRPr="00B01A41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465C0A" w:rsidP="0045020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Mars- Septembre </w:t>
            </w:r>
            <w:r w:rsidR="00954A97"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2006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B01A4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Société Qualiconsult, Vélizy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Traduction de plusieurs rapports de contrôle technique en bâtiment</w:t>
            </w:r>
          </w:p>
        </w:tc>
      </w:tr>
      <w:tr w:rsidR="00954A97" w:rsidRPr="00B01A41">
        <w:trPr>
          <w:gridAfter w:val="1"/>
          <w:wAfter w:w="10" w:type="dxa"/>
          <w:trHeight w:val="875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0F0C0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Université de Versailles Saint-Quentin-en-</w:t>
            </w:r>
            <w:r w:rsidR="00B01A41"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Yvelines</w:t>
            </w:r>
          </w:p>
          <w:p w:rsidR="00B01A41" w:rsidRPr="006426C6" w:rsidRDefault="00B01A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 xml:space="preserve">Mémoire de traduction de la pièce britannique de Howard Barker, The Bite of The Night (1988). Obtention le 20 mai 2005 avec mention Bien </w:t>
            </w:r>
          </w:p>
        </w:tc>
      </w:tr>
      <w:tr w:rsidR="00954A97">
        <w:trPr>
          <w:gridAfter w:val="1"/>
          <w:wAfter w:w="10" w:type="dxa"/>
          <w:trHeight w:val="86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 w:rsidP="00954A97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ABC Clio (Santa Barbara, CA, USA)</w:t>
            </w:r>
          </w:p>
          <w:p w:rsidR="00954A97" w:rsidRPr="006426C6" w:rsidRDefault="00954A97" w:rsidP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 xml:space="preserve">Rédactrice - traductrice pour un magazine historique </w:t>
            </w:r>
            <w:r w:rsidRPr="006426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Historical Abstracts and America </w:t>
            </w:r>
            <w:r w:rsidRPr="006426C6">
              <w:rPr>
                <w:rFonts w:ascii="Arial" w:hAnsi="Arial" w:cs="Arial"/>
                <w:sz w:val="18"/>
                <w:szCs w:val="18"/>
              </w:rPr>
              <w:t>: rédaction puis traduction de résumés variés</w:t>
            </w:r>
          </w:p>
        </w:tc>
      </w:tr>
      <w:tr w:rsidR="00954A97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1999-2005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 w:rsidP="00954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Office de Tourisme de Versailles</w:t>
            </w:r>
          </w:p>
          <w:p w:rsidR="00954A97" w:rsidRPr="006426C6" w:rsidRDefault="00954A97" w:rsidP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Traduction de documents et brochures liées au tourisme, à l’art et la culture</w:t>
            </w:r>
          </w:p>
        </w:tc>
      </w:tr>
      <w:tr w:rsidR="00954A97">
        <w:trPr>
          <w:gridAfter w:val="1"/>
          <w:wAfter w:w="10" w:type="dxa"/>
          <w:trHeight w:val="680"/>
        </w:trPr>
        <w:tc>
          <w:tcPr>
            <w:tcW w:w="2160" w:type="dxa"/>
            <w:shd w:val="clear" w:color="auto" w:fill="C0C0C0"/>
            <w:vAlign w:val="center"/>
          </w:tcPr>
          <w:p w:rsidR="00954A97" w:rsidRPr="006426C6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1999-2005</w:t>
            </w:r>
          </w:p>
        </w:tc>
        <w:tc>
          <w:tcPr>
            <w:tcW w:w="8280" w:type="dxa"/>
            <w:gridSpan w:val="2"/>
            <w:vAlign w:val="center"/>
          </w:tcPr>
          <w:p w:rsidR="00954A97" w:rsidRPr="006426C6" w:rsidRDefault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4A97" w:rsidRPr="006426C6" w:rsidRDefault="00954A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Univers</w:t>
            </w:r>
            <w:r w:rsidR="000F0C0F">
              <w:rPr>
                <w:rFonts w:ascii="Arial" w:hAnsi="Arial" w:cs="Arial"/>
                <w:b/>
                <w:bCs/>
                <w:sz w:val="18"/>
                <w:szCs w:val="18"/>
              </w:rPr>
              <w:t>ité de Versailles Saint-Quentin-</w:t>
            </w: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0F0C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>Yvelines</w:t>
            </w:r>
          </w:p>
          <w:p w:rsidR="00954A97" w:rsidRPr="006426C6" w:rsidRDefault="00954A97" w:rsidP="006757FB">
            <w:pPr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sz w:val="18"/>
                <w:szCs w:val="18"/>
              </w:rPr>
              <w:t>Apprentissage de multiples formes de la langue anglaise : littéraire, journalistique, vieil anglais, anglais britannique et américain. Linguistique, littérature et histoire anglo-saxonnes.</w:t>
            </w:r>
            <w:r w:rsidR="00BE4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6C6">
              <w:rPr>
                <w:rFonts w:ascii="Arial" w:hAnsi="Arial" w:cs="Arial"/>
                <w:sz w:val="18"/>
                <w:szCs w:val="18"/>
              </w:rPr>
              <w:t xml:space="preserve">Pratique </w:t>
            </w:r>
            <w:r w:rsidRPr="006426C6">
              <w:rPr>
                <w:rFonts w:ascii="Arial" w:hAnsi="Arial" w:cs="Arial"/>
                <w:sz w:val="18"/>
                <w:szCs w:val="18"/>
              </w:rPr>
              <w:lastRenderedPageBreak/>
              <w:t>quotidienne du thème et de la version.</w:t>
            </w:r>
          </w:p>
        </w:tc>
      </w:tr>
      <w:tr w:rsidR="00954A97">
        <w:trPr>
          <w:gridAfter w:val="1"/>
          <w:wAfter w:w="10" w:type="dxa"/>
          <w:trHeight w:val="111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DD5651" w:rsidRDefault="00DD565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4A97">
        <w:trPr>
          <w:gridAfter w:val="1"/>
          <w:wAfter w:w="10" w:type="dxa"/>
          <w:trHeight w:val="464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LANGUES</w:t>
            </w:r>
          </w:p>
        </w:tc>
      </w:tr>
      <w:tr w:rsidR="00954A97">
        <w:trPr>
          <w:gridAfter w:val="1"/>
          <w:wAfter w:w="10" w:type="dxa"/>
          <w:trHeight w:val="1530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Français : </w:t>
            </w:r>
            <w:r w:rsidRPr="006426C6">
              <w:rPr>
                <w:rFonts w:ascii="Arial" w:hAnsi="Arial" w:cs="Arial"/>
                <w:sz w:val="18"/>
                <w:szCs w:val="18"/>
              </w:rPr>
              <w:t>langue maternelle</w:t>
            </w: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Anglais : </w:t>
            </w:r>
            <w:r w:rsidRPr="006426C6">
              <w:rPr>
                <w:rFonts w:ascii="Arial" w:hAnsi="Arial" w:cs="Arial"/>
                <w:sz w:val="18"/>
                <w:szCs w:val="18"/>
              </w:rPr>
              <w:t>courant</w:t>
            </w:r>
          </w:p>
          <w:p w:rsidR="00954A97" w:rsidRPr="006426C6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Allemand : </w:t>
            </w:r>
            <w:r w:rsidRPr="006426C6">
              <w:rPr>
                <w:rFonts w:ascii="Arial" w:hAnsi="Arial" w:cs="Arial"/>
                <w:sz w:val="18"/>
                <w:szCs w:val="18"/>
              </w:rPr>
              <w:t>très bonnes notions</w:t>
            </w:r>
          </w:p>
          <w:p w:rsidR="00954A97" w:rsidRDefault="00954A97" w:rsidP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64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Italien : </w:t>
            </w:r>
            <w:r w:rsidRPr="006426C6">
              <w:rPr>
                <w:rFonts w:ascii="Arial" w:hAnsi="Arial" w:cs="Arial"/>
                <w:sz w:val="18"/>
                <w:szCs w:val="18"/>
              </w:rPr>
              <w:t>bonnes notions</w:t>
            </w: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F0C0F" w:rsidRDefault="000F0C0F" w:rsidP="000F0C0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4A97" w:rsidRDefault="00954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54A97">
        <w:trPr>
          <w:gridAfter w:val="1"/>
          <w:wAfter w:w="10" w:type="dxa"/>
          <w:trHeight w:val="437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0C0C0"/>
            <w:vAlign w:val="center"/>
          </w:tcPr>
          <w:p w:rsidR="00954A97" w:rsidRDefault="00954A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BUREAUTIQUE</w:t>
            </w:r>
          </w:p>
        </w:tc>
      </w:tr>
      <w:tr w:rsidR="00954A97">
        <w:trPr>
          <w:gridAfter w:val="1"/>
          <w:wAfter w:w="10" w:type="dxa"/>
          <w:trHeight w:val="663"/>
        </w:trPr>
        <w:tc>
          <w:tcPr>
            <w:tcW w:w="2160" w:type="dxa"/>
            <w:shd w:val="clear" w:color="auto" w:fill="C0C0C0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954A97" w:rsidRDefault="00954A9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954A97" w:rsidRDefault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</w:t>
            </w:r>
            <w:r w:rsidR="00954A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l’</w:t>
            </w:r>
            <w:r w:rsidR="00954A97">
              <w:rPr>
                <w:rFonts w:ascii="Arial" w:hAnsi="Arial" w:cs="Arial"/>
                <w:sz w:val="18"/>
                <w:szCs w:val="18"/>
              </w:rPr>
              <w:t>environnement Windows et outils Office, Open Office, veille Internet</w:t>
            </w:r>
          </w:p>
          <w:p w:rsidR="00954A97" w:rsidRDefault="000F0C0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Maîtrise</w:t>
            </w:r>
            <w:r w:rsidR="00954A97">
              <w:rPr>
                <w:rFonts w:ascii="Arial" w:hAnsi="Arial" w:cs="Arial"/>
                <w:sz w:val="18"/>
                <w:szCs w:val="18"/>
              </w:rPr>
              <w:t xml:space="preserve"> des logiciels de traduction tels que Trados, Tag Editor</w:t>
            </w:r>
          </w:p>
          <w:p w:rsidR="00954A97" w:rsidRDefault="00954A97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Connaissances du logiciel de mise en page InDesign</w:t>
            </w:r>
          </w:p>
          <w:p w:rsidR="00954A97" w:rsidRDefault="00954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7E52" w:rsidRDefault="005F7E52"/>
    <w:tbl>
      <w:tblPr>
        <w:tblW w:w="1044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80"/>
      </w:tblGrid>
      <w:tr w:rsidR="00892E84">
        <w:trPr>
          <w:trHeight w:val="425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CONTRATS DIVERS</w:t>
            </w:r>
          </w:p>
        </w:tc>
      </w:tr>
      <w:tr w:rsidR="005F7E52">
        <w:trPr>
          <w:trHeight w:val="113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F7E52" w:rsidRDefault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92E84">
        <w:trPr>
          <w:trHeight w:val="802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 w:rsidP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Mai-Septembre 2006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Société Qualiconsult, Vélizy</w:t>
            </w:r>
          </w:p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Assistante administrative au sein du service comptabilité: rédaction et suivi courrier, élaboration des paies, gestion du personnel, traduction de documents techniques</w:t>
            </w:r>
          </w:p>
        </w:tc>
      </w:tr>
      <w:tr w:rsidR="005F7E52">
        <w:trPr>
          <w:trHeight w:val="794"/>
        </w:trPr>
        <w:tc>
          <w:tcPr>
            <w:tcW w:w="2160" w:type="dxa"/>
            <w:shd w:val="clear" w:color="auto" w:fill="C0C0C0"/>
            <w:vAlign w:val="center"/>
          </w:tcPr>
          <w:p w:rsidR="005F7E52" w:rsidRDefault="005F7E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1999-2005</w:t>
            </w:r>
          </w:p>
        </w:tc>
        <w:tc>
          <w:tcPr>
            <w:tcW w:w="8280" w:type="dxa"/>
            <w:vAlign w:val="center"/>
          </w:tcPr>
          <w:p w:rsidR="005F7E52" w:rsidRDefault="005F7E52" w:rsidP="005F7E52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Office de Tourisme de Versailles</w:t>
            </w:r>
          </w:p>
          <w:p w:rsidR="005F7E52" w:rsidRDefault="005F7E52" w:rsidP="005F7E52">
            <w:pPr>
              <w:tabs>
                <w:tab w:val="left" w:pos="4320"/>
              </w:tabs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Emplois saisonniers et divers contrats CDD durant le reste de l’année tout au long de mes études en tant que conseiller de séjour touristique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Janvier – Juin 2004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Séjour Erasmus</w:t>
            </w:r>
            <w:r>
              <w:rPr>
                <w:rFonts w:ascii="Arial" w:hAnsi="Arial" w:cs="Arial"/>
                <w:sz w:val="18"/>
                <w:szCs w:val="18"/>
              </w:rPr>
              <w:t xml:space="preserve"> à Nottingham Trent University (GB)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D454E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1997-2007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Suivi scolaire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plusieurs collégiens et lycéens, essentiellement en français, anglais et allemand</w:t>
            </w:r>
          </w:p>
        </w:tc>
      </w:tr>
      <w:tr w:rsidR="00892E84">
        <w:trPr>
          <w:trHeight w:val="39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2002-2003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Enseignante</w:t>
            </w:r>
            <w:r>
              <w:rPr>
                <w:rFonts w:ascii="Arial" w:hAnsi="Arial" w:cs="Arial"/>
                <w:sz w:val="18"/>
                <w:szCs w:val="18"/>
              </w:rPr>
              <w:t xml:space="preserve"> pour la société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Acadomia</w:t>
            </w:r>
            <w:r>
              <w:rPr>
                <w:rFonts w:ascii="Arial" w:hAnsi="Arial" w:cs="Arial"/>
                <w:sz w:val="18"/>
                <w:szCs w:val="18"/>
              </w:rPr>
              <w:t>, cours à domicile en français, anglais et allemand</w:t>
            </w:r>
          </w:p>
        </w:tc>
      </w:tr>
      <w:tr w:rsidR="00892E84">
        <w:trPr>
          <w:trHeight w:val="794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 1999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Sopéméa, Vélizy </w:t>
            </w:r>
          </w:p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des visiteurs en trois langues étrangères, gestion quotidienne d’un standard et du service courrier</w:t>
            </w:r>
          </w:p>
        </w:tc>
      </w:tr>
      <w:tr w:rsidR="00892E84">
        <w:trPr>
          <w:trHeight w:val="737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Juillet 1997</w:t>
            </w: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Camping municipal de Versailles</w:t>
            </w:r>
          </w:p>
          <w:p w:rsidR="00892E84" w:rsidRDefault="00892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des vacanciers en trois langues étrangères, gestion des emplacements et des départs, gestion quotidienne de la comptabilité</w:t>
            </w:r>
          </w:p>
        </w:tc>
      </w:tr>
      <w:tr w:rsidR="00892E84">
        <w:trPr>
          <w:trHeight w:val="81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2E84">
        <w:trPr>
          <w:trHeight w:val="400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C0C0C0"/>
            <w:vAlign w:val="center"/>
          </w:tcPr>
          <w:p w:rsidR="00892E84" w:rsidRDefault="00892E84" w:rsidP="006F42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CENTRES D’</w:t>
            </w:r>
            <w:r w:rsidR="006F425E">
              <w:rPr>
                <w:rFonts w:ascii="Arial" w:hAnsi="Arial" w:cs="Arial"/>
                <w:b/>
                <w:bCs/>
              </w:rPr>
              <w:t>INTÉRÊT</w:t>
            </w:r>
          </w:p>
        </w:tc>
      </w:tr>
      <w:tr w:rsidR="00892E84">
        <w:trPr>
          <w:trHeight w:val="606"/>
        </w:trPr>
        <w:tc>
          <w:tcPr>
            <w:tcW w:w="2160" w:type="dxa"/>
            <w:shd w:val="clear" w:color="auto" w:fill="C0C0C0"/>
            <w:vAlign w:val="center"/>
          </w:tcPr>
          <w:p w:rsidR="00892E84" w:rsidRDefault="00892E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vAlign w:val="center"/>
          </w:tcPr>
          <w:p w:rsidR="00892E84" w:rsidRDefault="00892E84">
            <w:pPr>
              <w:tabs>
                <w:tab w:val="left" w:pos="4320"/>
              </w:tabs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Littérature</w:t>
            </w: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Cinéma</w:t>
            </w:r>
          </w:p>
          <w:p w:rsidR="00892E84" w:rsidRDefault="00892E84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Tourisme</w:t>
            </w:r>
          </w:p>
          <w:p w:rsidR="00D454E5" w:rsidRDefault="00D454E5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Randonnées</w:t>
            </w:r>
          </w:p>
          <w:p w:rsidR="005F7E52" w:rsidRDefault="001D4F86" w:rsidP="00961E59">
            <w:pPr>
              <w:numPr>
                <w:ilvl w:val="0"/>
                <w:numId w:val="1"/>
              </w:numPr>
              <w:tabs>
                <w:tab w:val="left" w:pos="7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Footing</w:t>
            </w:r>
            <w:r w:rsidR="00BB6ED0">
              <w:rPr>
                <w:rFonts w:ascii="Arial" w:hAnsi="Arial" w:cs="Arial"/>
                <w:sz w:val="18"/>
                <w:szCs w:val="18"/>
              </w:rPr>
              <w:t>, vélo, fitness, musculation</w:t>
            </w:r>
          </w:p>
        </w:tc>
      </w:tr>
    </w:tbl>
    <w:p w:rsidR="00A75C24" w:rsidRDefault="00A75C24"/>
    <w:sectPr w:rsidR="00A75C24" w:rsidSect="003B3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1417" w:bottom="53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77" w:rsidRDefault="006D6477" w:rsidP="006F425E">
      <w:r>
        <w:separator/>
      </w:r>
    </w:p>
  </w:endnote>
  <w:endnote w:type="continuationSeparator" w:id="0">
    <w:p w:rsidR="006D6477" w:rsidRDefault="006D6477" w:rsidP="006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77" w:rsidRDefault="006D6477" w:rsidP="006F425E">
      <w:r>
        <w:separator/>
      </w:r>
    </w:p>
  </w:footnote>
  <w:footnote w:type="continuationSeparator" w:id="0">
    <w:p w:rsidR="006D6477" w:rsidRDefault="006D6477" w:rsidP="006F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59" w:rsidRDefault="00961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61"/>
    <w:rsid w:val="00054561"/>
    <w:rsid w:val="0007107B"/>
    <w:rsid w:val="0007737A"/>
    <w:rsid w:val="00082E21"/>
    <w:rsid w:val="00087C1D"/>
    <w:rsid w:val="000A68FE"/>
    <w:rsid w:val="000C157A"/>
    <w:rsid w:val="000E3DD4"/>
    <w:rsid w:val="000F0C0F"/>
    <w:rsid w:val="001762B9"/>
    <w:rsid w:val="001B1B8B"/>
    <w:rsid w:val="001B64F2"/>
    <w:rsid w:val="001D4F86"/>
    <w:rsid w:val="001E7B64"/>
    <w:rsid w:val="002102D1"/>
    <w:rsid w:val="002D1745"/>
    <w:rsid w:val="002D1E8D"/>
    <w:rsid w:val="002D4CF4"/>
    <w:rsid w:val="003B363E"/>
    <w:rsid w:val="003E3187"/>
    <w:rsid w:val="00450206"/>
    <w:rsid w:val="00465C0A"/>
    <w:rsid w:val="00466A81"/>
    <w:rsid w:val="00472937"/>
    <w:rsid w:val="00483346"/>
    <w:rsid w:val="004E256A"/>
    <w:rsid w:val="004E44E2"/>
    <w:rsid w:val="0054665D"/>
    <w:rsid w:val="0055694D"/>
    <w:rsid w:val="005F7E52"/>
    <w:rsid w:val="006426C6"/>
    <w:rsid w:val="006757FB"/>
    <w:rsid w:val="006B3DCE"/>
    <w:rsid w:val="006D6477"/>
    <w:rsid w:val="006D6607"/>
    <w:rsid w:val="006F425E"/>
    <w:rsid w:val="00740C3B"/>
    <w:rsid w:val="00743BBF"/>
    <w:rsid w:val="00755B41"/>
    <w:rsid w:val="007619EB"/>
    <w:rsid w:val="00795399"/>
    <w:rsid w:val="0082503C"/>
    <w:rsid w:val="00892E84"/>
    <w:rsid w:val="008B2973"/>
    <w:rsid w:val="008B4AE8"/>
    <w:rsid w:val="009021EA"/>
    <w:rsid w:val="009217C0"/>
    <w:rsid w:val="00953FD9"/>
    <w:rsid w:val="00954A97"/>
    <w:rsid w:val="00961E59"/>
    <w:rsid w:val="009D07FA"/>
    <w:rsid w:val="009D1517"/>
    <w:rsid w:val="009D57E2"/>
    <w:rsid w:val="00A66E9E"/>
    <w:rsid w:val="00A759A3"/>
    <w:rsid w:val="00A75C24"/>
    <w:rsid w:val="00AB28C0"/>
    <w:rsid w:val="00AB3B6C"/>
    <w:rsid w:val="00B01A41"/>
    <w:rsid w:val="00B82311"/>
    <w:rsid w:val="00BB6ED0"/>
    <w:rsid w:val="00BE40BC"/>
    <w:rsid w:val="00D07E6B"/>
    <w:rsid w:val="00D27949"/>
    <w:rsid w:val="00D454E5"/>
    <w:rsid w:val="00DD5651"/>
    <w:rsid w:val="00E54157"/>
    <w:rsid w:val="00E55068"/>
    <w:rsid w:val="00EB79AA"/>
    <w:rsid w:val="00E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301A51"/>
  <w15:docId w15:val="{C441990B-3356-4929-9983-55E93A7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31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82311"/>
    <w:rPr>
      <w:rFonts w:ascii="Symbol" w:eastAsia="Times New Roman" w:hAnsi="Symbol" w:cs="Times New Roman"/>
      <w:b/>
    </w:rPr>
  </w:style>
  <w:style w:type="character" w:customStyle="1" w:styleId="WW8Num1z1">
    <w:name w:val="WW8Num1z1"/>
    <w:rsid w:val="00B82311"/>
    <w:rPr>
      <w:rFonts w:ascii="Courier New" w:hAnsi="Courier New" w:cs="Courier New"/>
    </w:rPr>
  </w:style>
  <w:style w:type="character" w:customStyle="1" w:styleId="WW8Num1z2">
    <w:name w:val="WW8Num1z2"/>
    <w:rsid w:val="00B82311"/>
    <w:rPr>
      <w:rFonts w:ascii="Wingdings" w:hAnsi="Wingdings"/>
    </w:rPr>
  </w:style>
  <w:style w:type="character" w:customStyle="1" w:styleId="WW8Num1z3">
    <w:name w:val="WW8Num1z3"/>
    <w:rsid w:val="00B82311"/>
    <w:rPr>
      <w:rFonts w:ascii="Symbol" w:hAnsi="Symbol"/>
    </w:rPr>
  </w:style>
  <w:style w:type="character" w:customStyle="1" w:styleId="Policepardfaut1">
    <w:name w:val="Police par défaut1"/>
    <w:rsid w:val="00B82311"/>
  </w:style>
  <w:style w:type="character" w:styleId="Lienhypertexte">
    <w:name w:val="Hyperlink"/>
    <w:uiPriority w:val="99"/>
    <w:rsid w:val="00B82311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B823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B82311"/>
    <w:pPr>
      <w:spacing w:after="120"/>
    </w:pPr>
  </w:style>
  <w:style w:type="paragraph" w:styleId="Liste">
    <w:name w:val="List"/>
    <w:basedOn w:val="Corpsdetexte"/>
    <w:rsid w:val="00B82311"/>
    <w:rPr>
      <w:rFonts w:cs="Tahoma"/>
    </w:rPr>
  </w:style>
  <w:style w:type="paragraph" w:customStyle="1" w:styleId="Lgende1">
    <w:name w:val="Légende1"/>
    <w:basedOn w:val="Normal"/>
    <w:rsid w:val="00B823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82311"/>
    <w:pPr>
      <w:suppressLineNumbers/>
    </w:pPr>
    <w:rPr>
      <w:rFonts w:cs="Tahoma"/>
    </w:rPr>
  </w:style>
  <w:style w:type="paragraph" w:styleId="Textedebulles">
    <w:name w:val="Balloon Text"/>
    <w:basedOn w:val="Normal"/>
    <w:rsid w:val="00B8231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82311"/>
    <w:pPr>
      <w:suppressLineNumbers/>
    </w:pPr>
  </w:style>
  <w:style w:type="paragraph" w:customStyle="1" w:styleId="TableHeading">
    <w:name w:val="Table Heading"/>
    <w:basedOn w:val="TableContents"/>
    <w:rsid w:val="00B82311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6F4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425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F4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dissim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Célia RAMAIN</vt:lpstr>
    </vt:vector>
  </TitlesOfParts>
  <Company>CF Corp.</Company>
  <LinksUpToDate>false</LinksUpToDate>
  <CharactersWithSpaces>4775</CharactersWithSpaces>
  <SharedDoc>false</SharedDoc>
  <HLinks>
    <vt:vector size="6" baseType="variant"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mailto:celia17r@gmail.com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Célia RAMAIN</dc:title>
  <dc:creator>Utilisateur</dc:creator>
  <cp:lastModifiedBy>celia celia</cp:lastModifiedBy>
  <cp:revision>19</cp:revision>
  <cp:lastPrinted>2007-10-09T09:20:00Z</cp:lastPrinted>
  <dcterms:created xsi:type="dcterms:W3CDTF">2012-11-12T09:49:00Z</dcterms:created>
  <dcterms:modified xsi:type="dcterms:W3CDTF">2018-08-20T13:58:00Z</dcterms:modified>
</cp:coreProperties>
</file>