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188"/>
        <w:gridCol w:w="6589"/>
      </w:tblGrid>
      <w:tr>
        <w:trPr/>
        <w:tc>
          <w:tcPr>
            <w:tcW w:w="3188" w:type="dxa"/>
            <w:tcBorders/>
          </w:tcPr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ALBASINI Armin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Corso Italia 22/A/13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I-39100 Bolzano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</w:r>
          </w:p>
        </w:tc>
        <w:tc>
          <w:tcPr>
            <w:tcW w:w="6589" w:type="dxa"/>
            <w:tcBorders/>
          </w:tcPr>
          <w:p>
            <w:pPr>
              <w:pStyle w:val="Titoloprincipale"/>
              <w:widowControl w:val="false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Home: +390471366573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Mobile: +39-347-9584276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Whatsapp: same number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  aalbasin@gmail.com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</w:t>
            </w:r>
            <w:r>
              <w:rPr>
                <w:sz w:val="20"/>
                <w:lang w:val="en-GB"/>
              </w:rPr>
              <w:t>aalbasin@yahoo.it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</w:t>
            </w:r>
            <w:r>
              <w:rPr>
                <w:sz w:val="20"/>
                <w:lang w:val="en-GB"/>
              </w:rPr>
              <w:t>aalbasin@libero.it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Paypal: aalbasin@gmail.com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skype: aalbasin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Facebook: aalbasin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</w:tr>
      <w:tr>
        <w:trPr/>
        <w:tc>
          <w:tcPr>
            <w:tcW w:w="3188" w:type="dxa"/>
            <w:tcBorders/>
          </w:tcPr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6589" w:type="dxa"/>
            <w:tcBorders/>
          </w:tcPr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</w:tr>
    </w:tbl>
    <w:p>
      <w:pPr>
        <w:pStyle w:val="Titoloprincipale"/>
        <w:rPr>
          <w:sz w:val="22"/>
          <w:lang w:val="en-GB"/>
        </w:rPr>
      </w:pPr>
      <w:r>
        <w:rPr>
          <w:sz w:val="22"/>
          <w:lang w:val="en-GB"/>
        </w:rPr>
      </w:r>
    </w:p>
    <w:p>
      <w:pPr>
        <w:pStyle w:val="Titoloprincipale"/>
        <w:rPr/>
      </w:pPr>
      <w:r>
        <w:rPr/>
        <w:t>CV – Armin Albasini</w:t>
      </w:r>
    </w:p>
    <w:p>
      <w:pPr>
        <w:pStyle w:val="Normal"/>
        <w:widowControl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763"/>
        <w:gridCol w:w="6448"/>
      </w:tblGrid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Personal Details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Place and date of birth: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11</w:t>
            </w:r>
            <w:r>
              <w:rPr>
                <w:rFonts w:ascii="Arial" w:hAnsi="Arial"/>
                <w:sz w:val="22"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z w:val="22"/>
                <w:lang w:val="en-GB"/>
              </w:rPr>
              <w:t xml:space="preserve"> April 1971, Bolzano (Italy)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Nationality: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Italian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Marital status: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Married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Linguistic combinations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DE&lt;&gt;IT, EN&gt;DE, EN&gt;IT</w:t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bCs/>
                <w:sz w:val="22"/>
                <w:lang w:val="en-GB"/>
              </w:rPr>
              <w:t>Fees: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0,06 per word of the source text (Rush fee: +100%)</w:t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Legalization of texts, 40 Euros per document + the cost for the translation and official marks 14 Euros 4 pages each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Titolo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Titolo1"/>
              <w:widowControl w:val="false"/>
              <w:rPr/>
            </w:pPr>
            <w:r>
              <w:rPr/>
              <w:t>Professional translation experience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2020 – ongoing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Translation projects in the sphere technical and legal texts for the agency Studio Traduzioni, language combinations IT &lt;&gt; DE, EN &gt;DE</w:t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2016 - 2020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Translation projects in the sphere technical texts for the agency ISSEL Nord, language combinations IT &gt; DE, EN &gt;DE</w:t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2016 - 2020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projects in the sphere automotive for the agency STAR S.p.A., language combinations IT - DE, EN - DE.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2008 - 2016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projects in the sphere law and technical translations, language combinations DE – IT – DE, EN – IT, EN- DE, agency Vertere (Italy)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2008 – 2010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of German IT magazine CHIP from German into Italian.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10.2008 – 11.2008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project for Nord, Bargteheide (Germany)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Language combinations: GER/ENG – 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Software used: SAP translation tools 4.6 and above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2006 – present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of catalogues of spare parts for the agricolture (mechanics, fertilizer, tools etc.) for Granit Parts (Germany)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Language combination: GER-IT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Software used: FileMaker Pro, Adobe Acrobat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2005 – 2007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projects as free-lance translator in several fields (building, safety on the building site, technical manuals, software localization, automotive)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Language combination: IT-GER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Software used: Trados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02.2006 – 03.2006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++Free-lance translation projects for Draeger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Language combinations: ENG/GER-IT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Software used: SAP translation tools 4.6 and above, Trados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01.2005 – 06.2005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In-house translation project at Henkel KgaA in Düsseldorf (Germany)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Languages: GER/ENG – 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Software used: SAP translation tools 4.6 and above, Trados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01.08.1999 – 15.11.1999 15.01.2004 – 23.04.2004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In-house translation projects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Languages: GER - 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Software used: SAP translation tools 4.6 and above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Titolo2"/>
              <w:widowControl w:val="false"/>
              <w:rPr/>
            </w:pPr>
            <w:r>
              <w:rPr/>
              <w:t>Education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2007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Trainee at the EURAC Company in Bolzano (Italy) with topics in the implementation of the terminological database in law (Italian into German – South Tyrol, Austria, Switzerland and Germany)</w:t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2007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Post-graduate course translation ENG-IT with main subject IT at the SSML of Pisa (Italy), training of different CAT tools (Trados, Wordfast, Omega-T)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2004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University degree in translation at the Faculty of Translation and Interpreting in Trieste (Italy).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First language: German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Second language: Russian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Degree thesis: A comparative terminology research on labour market institutions and policies in Germany and Italy; creation of a Multiterm glossary to be fed into the European terminology database TERMIT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1990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High school diploma at the Gymnasium ‘Walther von der Vogelweide’, Bolzano (Italy), a German-speaking high school with special emphasis on classical languages and humanities.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Study abroad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trHeight w:val="177" w:hRule="atLeast"/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January – June 2003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Semi-intensive French language course at the Alliance francaise in Bruxelles (Belgium)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trHeight w:val="177" w:hRule="atLeast"/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April – May 2002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University exchange at Moscow University (Russia)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trHeight w:val="177" w:hRule="atLeast"/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July 1996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Russian language course at Russkij Lizej,  Kaluga (Russia)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01.03.1995 – 31.07.1995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Erasmus exchange at Leipzig University (Germany)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Computer skills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Excellent overall computer knowledge: ECDL, SDL Studio 2017, MemoQ 8.4, Transit NXT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OS: MS Windows 10 Professional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Updated on</w:t>
            </w:r>
          </w:p>
          <w:p>
            <w:pPr>
              <w:pStyle w:val="Normal"/>
              <w:widowControl w:val="false"/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28</w:t>
            </w:r>
            <w:r>
              <w:rPr>
                <w:rFonts w:ascii="Arial" w:hAnsi="Arial"/>
                <w:bCs/>
                <w:sz w:val="22"/>
                <w:lang w:val="en-GB"/>
              </w:rPr>
              <w:t xml:space="preserve">th </w:t>
            </w:r>
            <w:r>
              <w:rPr>
                <w:rFonts w:eastAsia="Times New Roman" w:cs="Times New Roman" w:ascii="Arial" w:hAnsi="Arial"/>
                <w:bCs/>
                <w:color w:val="auto"/>
                <w:kern w:val="0"/>
                <w:sz w:val="22"/>
                <w:szCs w:val="20"/>
                <w:lang w:val="en-GB" w:eastAsia="ar-SA" w:bidi="ar-SA"/>
              </w:rPr>
              <w:t xml:space="preserve">April </w:t>
            </w:r>
            <w:r>
              <w:rPr>
                <w:rFonts w:ascii="Arial" w:hAnsi="Arial"/>
                <w:bCs/>
                <w:sz w:val="22"/>
                <w:lang w:val="en-GB"/>
              </w:rPr>
              <w:t>202</w:t>
            </w:r>
            <w:r>
              <w:rPr>
                <w:rFonts w:ascii="Arial" w:hAnsi="Arial"/>
                <w:bCs/>
                <w:sz w:val="22"/>
                <w:lang w:val="en-GB"/>
              </w:rPr>
              <w:t>3</w:t>
            </w:r>
          </w:p>
        </w:tc>
        <w:tc>
          <w:tcPr>
            <w:tcW w:w="644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</w:tbl>
    <w:p>
      <w:pPr>
        <w:pStyle w:val="Normal"/>
        <w:rPr>
          <w:rFonts w:ascii="Arial" w:hAnsi="Arial" w:eastAsia="Times New Roman" w:cs="Times New Roman"/>
          <w:bCs/>
          <w:color w:val="auto"/>
          <w:kern w:val="0"/>
          <w:sz w:val="22"/>
          <w:szCs w:val="20"/>
          <w:lang w:val="en-GB" w:eastAsia="ar-SA" w:bidi="ar-SA"/>
        </w:rPr>
      </w:pPr>
      <w:r>
        <w:rPr>
          <w:rFonts w:eastAsia="Times New Roman" w:cs="Times New Roman" w:ascii="Arial" w:hAnsi="Arial"/>
          <w:bCs/>
          <w:color w:val="auto"/>
          <w:kern w:val="0"/>
          <w:sz w:val="22"/>
          <w:szCs w:val="20"/>
          <w:lang w:val="en-GB" w:eastAsia="ar-SA" w:bidi="ar-SA"/>
        </w:rPr>
        <w:t>I authorize the use of my personal data according to the Legislative Decree of the 30th June 2003, n. 196 (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0"/>
          <w:shd w:fill="auto" w:val="clear"/>
          <w:lang w:val="en-GB" w:eastAsia="ar-SA" w:bidi="ar-SA"/>
        </w:rPr>
        <w:t>Regulation (EU) No 28/2012</w:t>
      </w:r>
      <w:r>
        <w:rPr>
          <w:rFonts w:eastAsia="Times New Roman" w:cs="Times New Roman" w:ascii="Arial" w:hAnsi="Arial"/>
          <w:bCs/>
          <w:color w:val="auto"/>
          <w:kern w:val="0"/>
          <w:sz w:val="22"/>
          <w:szCs w:val="20"/>
          <w:lang w:val="en-GB" w:eastAsia="ar-SA" w:bidi="ar-SA"/>
        </w:rPr>
        <w:t xml:space="preserve">). </w:t>
      </w:r>
    </w:p>
    <w:sectPr>
      <w:type w:val="nextPage"/>
      <w:pgSz w:w="11906" w:h="16838"/>
      <w:pgMar w:left="1134" w:right="1701" w:gutter="0" w:header="0" w:top="1418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f56e6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rsid w:val="00ff56e6"/>
    <w:pPr>
      <w:keepNext w:val="true"/>
      <w:widowControl/>
      <w:jc w:val="both"/>
      <w:outlineLvl w:val="0"/>
    </w:pPr>
    <w:rPr>
      <w:rFonts w:ascii="Arial" w:hAnsi="Arial"/>
      <w:b/>
      <w:sz w:val="22"/>
      <w:lang w:val="en-GB"/>
    </w:rPr>
  </w:style>
  <w:style w:type="paragraph" w:styleId="Titolo2">
    <w:name w:val="Heading 2"/>
    <w:basedOn w:val="Normal"/>
    <w:next w:val="Normal"/>
    <w:qFormat/>
    <w:rsid w:val="00ff56e6"/>
    <w:pPr>
      <w:keepNext w:val="true"/>
      <w:widowControl/>
      <w:outlineLvl w:val="1"/>
    </w:pPr>
    <w:rPr>
      <w:rFonts w:ascii="Arial" w:hAnsi="Arial"/>
      <w:b/>
      <w:sz w:val="22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sid w:val="00ff56e6"/>
    <w:rPr>
      <w:rFonts w:ascii="StarSymbol" w:hAnsi="StarSymbol" w:eastAsia="StarSymbol" w:cs="StarSymbol"/>
      <w:sz w:val="18"/>
      <w:szCs w:val="18"/>
    </w:rPr>
  </w:style>
  <w:style w:type="character" w:styleId="CollegamentoInternet">
    <w:name w:val="Collegamento Internet"/>
    <w:basedOn w:val="WWAbsatzStandardschriftart"/>
    <w:rsid w:val="00ff56e6"/>
    <w:rPr>
      <w:color w:val="0000FF"/>
      <w:u w:val="single"/>
    </w:rPr>
  </w:style>
  <w:style w:type="character" w:styleId="WWAbsatzStandardschriftart" w:customStyle="1">
    <w:name w:val="WW-Absatz-Standardschriftart"/>
    <w:qFormat/>
    <w:rsid w:val="00ff56e6"/>
    <w:rPr/>
  </w:style>
  <w:style w:type="character" w:styleId="CollegamentoInternetvisitato">
    <w:name w:val="Collegamento Internet visitato"/>
    <w:basedOn w:val="DefaultParagraphFont"/>
    <w:rsid w:val="00ff56e6"/>
    <w:rPr>
      <w:color w:val="800080"/>
      <w:u w:val="single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7335d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ff56e6"/>
    <w:pPr>
      <w:spacing w:before="0" w:after="120"/>
    </w:pPr>
    <w:rPr/>
  </w:style>
  <w:style w:type="paragraph" w:styleId="Elenco">
    <w:name w:val="List"/>
    <w:basedOn w:val="Corpodeltesto"/>
    <w:rsid w:val="00ff56e6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abellenInhalt" w:customStyle="1">
    <w:name w:val="Tabellen Inhalt"/>
    <w:basedOn w:val="Corpodeltesto"/>
    <w:qFormat/>
    <w:rsid w:val="00ff56e6"/>
    <w:pPr>
      <w:suppressLineNumbers/>
    </w:pPr>
    <w:rPr/>
  </w:style>
  <w:style w:type="paragraph" w:styleId="Tabellenberschrift" w:customStyle="1">
    <w:name w:val="Tabellen Überschrift"/>
    <w:basedOn w:val="TabellenInhalt"/>
    <w:qFormat/>
    <w:rsid w:val="00ff56e6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ff56e6"/>
    <w:pPr>
      <w:suppressLineNumbers/>
      <w:spacing w:before="120" w:after="120"/>
    </w:pPr>
    <w:rPr>
      <w:rFonts w:cs="Tahoma"/>
      <w:i/>
      <w:iCs/>
    </w:rPr>
  </w:style>
  <w:style w:type="paragraph" w:styleId="Verzeichnis" w:customStyle="1">
    <w:name w:val="Verzeichnis"/>
    <w:basedOn w:val="Normal"/>
    <w:qFormat/>
    <w:rsid w:val="00ff56e6"/>
    <w:pPr>
      <w:suppressLineNumbers/>
    </w:pPr>
    <w:rPr>
      <w:rFonts w:cs="Tahoma"/>
    </w:rPr>
  </w:style>
  <w:style w:type="paragraph" w:styleId="Titoloprincipale">
    <w:name w:val="Title"/>
    <w:basedOn w:val="Normal"/>
    <w:qFormat/>
    <w:rsid w:val="00ff56e6"/>
    <w:pPr>
      <w:widowControl/>
      <w:jc w:val="center"/>
    </w:pPr>
    <w:rPr>
      <w:rFonts w:ascii="Arial" w:hAnsi="Arial"/>
      <w:bCs/>
      <w:sz w:val="32"/>
    </w:rPr>
  </w:style>
  <w:style w:type="paragraph" w:styleId="Notadichiusura">
    <w:name w:val="Endnote Text"/>
    <w:basedOn w:val="Normal"/>
    <w:semiHidden/>
    <w:rsid w:val="007335d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LibreOffice/7.3.0.3$Windows_X86_64 LibreOffice_project/0f246aa12d0eee4a0f7adcefbf7c878fc2238db3</Application>
  <AppVersion>15.0000</AppVersion>
  <Pages>3</Pages>
  <Words>543</Words>
  <Characters>3296</Characters>
  <CharactersWithSpaces>3798</CharactersWithSpaces>
  <Paragraphs>87</Paragraphs>
  <Company>NN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2021-05-19T07:51:00Z</dcterms:created>
  <dc:creator>Donatella Alberici</dc:creator>
  <dc:description/>
  <dc:language>it-IT</dc:language>
  <cp:lastModifiedBy/>
  <cp:lastPrinted>2022-02-27T14:15:34Z</cp:lastPrinted>
  <dcterms:modified xsi:type="dcterms:W3CDTF">2023-04-28T18:31:34Z</dcterms:modified>
  <cp:revision>9</cp:revision>
  <dc:subject/>
  <dc:title>Curriculum vitae - Arianna Fichera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